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2DCBF">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kern w:val="0"/>
          <w:sz w:val="44"/>
          <w:szCs w:val="44"/>
        </w:rPr>
      </w:pPr>
      <w:r>
        <w:rPr>
          <w:rFonts w:hint="eastAsia" w:ascii="方正小标宋简体" w:hAnsi="方正小标宋简体" w:eastAsia="方正小标宋简体" w:cs="方正小标宋简体"/>
          <w:b w:val="0"/>
          <w:bCs w:val="0"/>
          <w:color w:val="000000"/>
          <w:kern w:val="0"/>
          <w:sz w:val="44"/>
          <w:szCs w:val="44"/>
        </w:rPr>
        <w:t>景德镇市</w:t>
      </w:r>
      <w:r>
        <w:rPr>
          <w:rFonts w:hint="eastAsia" w:ascii="方正小标宋简体" w:hAnsi="方正小标宋简体" w:eastAsia="方正小标宋简体" w:cs="方正小标宋简体"/>
          <w:b w:val="0"/>
          <w:bCs w:val="0"/>
          <w:color w:val="000000"/>
          <w:kern w:val="0"/>
          <w:sz w:val="44"/>
          <w:szCs w:val="44"/>
          <w:lang w:val="en-US" w:eastAsia="zh-CN"/>
        </w:rPr>
        <w:t>交通运输</w:t>
      </w:r>
      <w:r>
        <w:rPr>
          <w:rFonts w:hint="eastAsia" w:ascii="方正小标宋简体" w:hAnsi="方正小标宋简体" w:eastAsia="方正小标宋简体" w:cs="方正小标宋简体"/>
          <w:b w:val="0"/>
          <w:bCs w:val="0"/>
          <w:color w:val="000000"/>
          <w:kern w:val="0"/>
          <w:sz w:val="44"/>
          <w:szCs w:val="44"/>
        </w:rPr>
        <w:t>局</w:t>
      </w:r>
      <w:r>
        <w:rPr>
          <w:rFonts w:hint="eastAsia" w:ascii="方正小标宋简体" w:hAnsi="方正小标宋简体" w:eastAsia="方正小标宋简体" w:cs="方正小标宋简体"/>
          <w:b w:val="0"/>
          <w:bCs w:val="0"/>
          <w:color w:val="000000"/>
          <w:kern w:val="0"/>
          <w:sz w:val="44"/>
          <w:szCs w:val="44"/>
          <w:lang w:eastAsia="zh-CN"/>
        </w:rPr>
        <w:t>2025</w:t>
      </w:r>
      <w:r>
        <w:rPr>
          <w:rFonts w:hint="eastAsia" w:ascii="方正小标宋简体" w:hAnsi="方正小标宋简体" w:eastAsia="方正小标宋简体" w:cs="方正小标宋简体"/>
          <w:b w:val="0"/>
          <w:bCs w:val="0"/>
          <w:color w:val="000000"/>
          <w:kern w:val="0"/>
          <w:sz w:val="44"/>
          <w:szCs w:val="44"/>
        </w:rPr>
        <w:t>年部门预算</w:t>
      </w:r>
    </w:p>
    <w:p w14:paraId="4AEF6226">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大标宋简体" w:hAnsi="方正大标宋简体" w:eastAsia="方正大标宋简体" w:cs="方正大标宋简体"/>
          <w:b w:val="0"/>
          <w:bCs w:val="0"/>
          <w:color w:val="000000"/>
          <w:kern w:val="0"/>
          <w:sz w:val="44"/>
          <w:szCs w:val="44"/>
        </w:rPr>
      </w:pPr>
    </w:p>
    <w:p w14:paraId="712743D2">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大标宋简体" w:hAnsi="方正大标宋简体" w:eastAsia="方正大标宋简体" w:cs="方正大标宋简体"/>
          <w:b w:val="0"/>
          <w:bCs w:val="0"/>
          <w:color w:val="000000"/>
          <w:kern w:val="0"/>
          <w:sz w:val="44"/>
          <w:szCs w:val="44"/>
        </w:rPr>
      </w:pPr>
    </w:p>
    <w:p w14:paraId="5F7730C0">
      <w:pPr>
        <w:pStyle w:val="12"/>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rPr>
        <w:t>目    录</w:t>
      </w:r>
    </w:p>
    <w:p w14:paraId="744466FC">
      <w:pPr>
        <w:pStyle w:val="12"/>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黑体" w:hAnsi="黑体" w:eastAsia="黑体"/>
          <w:color w:val="000000"/>
          <w:sz w:val="32"/>
          <w:szCs w:val="32"/>
        </w:rPr>
      </w:pPr>
    </w:p>
    <w:p w14:paraId="70FEC159">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ascii="仿宋_GB2312" w:eastAsia="仿宋_GB2312"/>
          <w:b/>
          <w:bCs/>
          <w:color w:val="000000"/>
          <w:sz w:val="32"/>
          <w:szCs w:val="32"/>
        </w:rPr>
      </w:pPr>
      <w:r>
        <w:rPr>
          <w:rFonts w:hint="eastAsia" w:ascii="黑体" w:hAnsi="黑体" w:eastAsia="黑体" w:cs="黑体"/>
          <w:b/>
          <w:bCs/>
          <w:color w:val="000000"/>
          <w:sz w:val="32"/>
          <w:szCs w:val="32"/>
        </w:rPr>
        <w:t xml:space="preserve">第一部分  </w:t>
      </w:r>
      <w:r>
        <w:rPr>
          <w:rFonts w:hint="eastAsia" w:ascii="黑体" w:hAnsi="黑体" w:eastAsia="黑体" w:cs="黑体"/>
          <w:b/>
          <w:bCs/>
          <w:color w:val="000000"/>
          <w:sz w:val="32"/>
          <w:szCs w:val="32"/>
        </w:rPr>
        <w:fldChar w:fldCharType="begin"/>
      </w:r>
      <w:r>
        <w:rPr>
          <w:rFonts w:hint="eastAsia" w:ascii="黑体" w:hAnsi="黑体" w:eastAsia="黑体" w:cs="黑体"/>
          <w:b/>
          <w:bCs/>
          <w:color w:val="000000"/>
          <w:sz w:val="32"/>
          <w:szCs w:val="32"/>
        </w:rPr>
        <w:instrText xml:space="preserve">MERGEFIELD ${page400644146.ds509943833_REP_JXJC_AGENCY_WZR_NAME}</w:instrText>
      </w:r>
      <w:r>
        <w:rPr>
          <w:rFonts w:hint="eastAsia" w:ascii="黑体" w:hAnsi="黑体" w:eastAsia="黑体" w:cs="黑体"/>
          <w:b/>
          <w:bCs/>
          <w:color w:val="000000"/>
          <w:sz w:val="32"/>
          <w:szCs w:val="32"/>
        </w:rPr>
        <w:fldChar w:fldCharType="separate"/>
      </w:r>
      <w:r>
        <w:rPr>
          <w:rFonts w:hint="eastAsia" w:ascii="黑体" w:hAnsi="黑体" w:eastAsia="黑体" w:cs="黑体"/>
          <w:b/>
          <w:bCs/>
          <w:color w:val="000000"/>
          <w:sz w:val="32"/>
          <w:szCs w:val="32"/>
        </w:rPr>
        <w:t>景德镇市</w:t>
      </w:r>
      <w:r>
        <w:rPr>
          <w:rFonts w:hint="eastAsia" w:ascii="黑体" w:hAnsi="黑体" w:eastAsia="黑体" w:cs="黑体"/>
          <w:b/>
          <w:bCs/>
          <w:color w:val="000000"/>
          <w:sz w:val="32"/>
          <w:szCs w:val="32"/>
          <w:lang w:val="en-US" w:eastAsia="zh-CN"/>
        </w:rPr>
        <w:t>交通运输</w:t>
      </w:r>
      <w:r>
        <w:rPr>
          <w:rFonts w:hint="eastAsia" w:ascii="黑体" w:hAnsi="黑体" w:eastAsia="黑体" w:cs="黑体"/>
          <w:b/>
          <w:bCs/>
          <w:color w:val="000000"/>
          <w:sz w:val="32"/>
          <w:szCs w:val="32"/>
        </w:rPr>
        <w:t>局</w:t>
      </w:r>
      <w:r>
        <w:rPr>
          <w:rFonts w:hint="eastAsia" w:ascii="黑体" w:hAnsi="黑体" w:eastAsia="黑体" w:cs="黑体"/>
          <w:sz w:val="32"/>
          <w:szCs w:val="32"/>
        </w:rPr>
        <w:fldChar w:fldCharType="end"/>
      </w:r>
      <w:r>
        <w:rPr>
          <w:rFonts w:hint="eastAsia" w:ascii="黑体" w:hAnsi="黑体" w:eastAsia="黑体" w:cs="黑体"/>
          <w:b/>
          <w:bCs/>
          <w:color w:val="000000"/>
          <w:sz w:val="32"/>
          <w:szCs w:val="32"/>
        </w:rPr>
        <w:t>概况</w:t>
      </w:r>
    </w:p>
    <w:p w14:paraId="252BD6C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一、部门主要职责</w:t>
      </w:r>
    </w:p>
    <w:p w14:paraId="696E1669">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二、机构设置及人员情况</w:t>
      </w:r>
    </w:p>
    <w:p w14:paraId="04B6B2AB">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w:t>
      </w:r>
      <w:r>
        <w:rPr>
          <w:rFonts w:hint="eastAsia" w:ascii="黑体" w:hAnsi="黑体" w:eastAsia="黑体" w:cs="黑体"/>
          <w:b/>
          <w:bCs/>
          <w:color w:val="000000"/>
          <w:sz w:val="32"/>
          <w:szCs w:val="32"/>
          <w:lang w:val="en-US" w:eastAsia="zh-CN"/>
        </w:rPr>
        <w:t>二</w:t>
      </w:r>
      <w:r>
        <w:rPr>
          <w:rFonts w:hint="eastAsia" w:ascii="黑体" w:hAnsi="黑体" w:eastAsia="黑体" w:cs="黑体"/>
          <w:b/>
          <w:bCs/>
          <w:color w:val="000000"/>
          <w:sz w:val="32"/>
          <w:szCs w:val="32"/>
        </w:rPr>
        <w:t>部分</w:t>
      </w:r>
      <w:r>
        <w:rPr>
          <w:rFonts w:hint="eastAsia" w:ascii="黑体" w:hAnsi="黑体" w:eastAsia="黑体" w:cs="黑体"/>
          <w:b/>
          <w:bCs/>
          <w:color w:val="000000"/>
          <w:sz w:val="32"/>
          <w:szCs w:val="32"/>
          <w:lang w:val="en-US" w:eastAsia="zh-CN"/>
        </w:rPr>
        <w:t xml:space="preserve"> </w:t>
      </w:r>
      <w:r>
        <w:rPr>
          <w:rFonts w:hint="eastAsia" w:ascii="黑体" w:hAnsi="黑体" w:eastAsia="黑体" w:cs="黑体"/>
          <w:b/>
          <w:bCs/>
          <w:color w:val="000000"/>
          <w:sz w:val="32"/>
          <w:szCs w:val="32"/>
        </w:rPr>
        <w:t xml:space="preserve"> </w:t>
      </w:r>
      <w:r>
        <w:rPr>
          <w:rFonts w:hint="eastAsia" w:ascii="黑体" w:hAnsi="黑体" w:eastAsia="黑体" w:cs="黑体"/>
          <w:b/>
          <w:bCs/>
          <w:color w:val="000000"/>
          <w:sz w:val="32"/>
          <w:szCs w:val="32"/>
        </w:rPr>
        <w:fldChar w:fldCharType="begin"/>
      </w:r>
      <w:r>
        <w:rPr>
          <w:rFonts w:hint="eastAsia" w:ascii="黑体" w:hAnsi="黑体" w:eastAsia="黑体" w:cs="黑体"/>
          <w:b/>
          <w:bCs/>
          <w:color w:val="000000"/>
          <w:sz w:val="32"/>
          <w:szCs w:val="32"/>
        </w:rPr>
        <w:instrText xml:space="preserve">MERGEFIELD ${page400644146.ds509943833_REP_JXJC_AGENCY_WZR_NAME}</w:instrText>
      </w:r>
      <w:r>
        <w:rPr>
          <w:rFonts w:hint="eastAsia" w:ascii="黑体" w:hAnsi="黑体" w:eastAsia="黑体" w:cs="黑体"/>
          <w:b/>
          <w:bCs/>
          <w:color w:val="000000"/>
          <w:sz w:val="32"/>
          <w:szCs w:val="32"/>
        </w:rPr>
        <w:fldChar w:fldCharType="separate"/>
      </w:r>
      <w:r>
        <w:rPr>
          <w:rFonts w:hint="eastAsia" w:ascii="黑体" w:hAnsi="黑体" w:eastAsia="黑体" w:cs="黑体"/>
          <w:b/>
          <w:bCs/>
          <w:color w:val="000000"/>
          <w:sz w:val="32"/>
          <w:szCs w:val="32"/>
        </w:rPr>
        <w:t>景德镇市</w:t>
      </w:r>
      <w:r>
        <w:rPr>
          <w:rFonts w:hint="eastAsia" w:ascii="黑体" w:hAnsi="黑体" w:eastAsia="黑体" w:cs="黑体"/>
          <w:b/>
          <w:bCs/>
          <w:color w:val="000000"/>
          <w:sz w:val="32"/>
          <w:szCs w:val="32"/>
          <w:lang w:val="en-US" w:eastAsia="zh-CN"/>
        </w:rPr>
        <w:t>交通运输</w:t>
      </w:r>
      <w:r>
        <w:rPr>
          <w:rFonts w:hint="eastAsia" w:ascii="黑体" w:hAnsi="黑体" w:eastAsia="黑体" w:cs="黑体"/>
          <w:b/>
          <w:bCs/>
          <w:color w:val="000000"/>
          <w:sz w:val="32"/>
          <w:szCs w:val="32"/>
        </w:rPr>
        <w:t>局</w:t>
      </w:r>
      <w:r>
        <w:rPr>
          <w:rFonts w:hint="eastAsia" w:ascii="黑体" w:hAnsi="黑体" w:eastAsia="黑体" w:cs="黑体"/>
          <w:b/>
          <w:bCs/>
          <w:color w:val="000000"/>
          <w:sz w:val="32"/>
          <w:szCs w:val="32"/>
        </w:rPr>
        <w:fldChar w:fldCharType="end"/>
      </w:r>
      <w:r>
        <w:rPr>
          <w:rFonts w:hint="eastAsia" w:ascii="黑体" w:hAnsi="黑体" w:eastAsia="黑体" w:cs="黑体"/>
          <w:b/>
          <w:bCs/>
          <w:color w:val="000000"/>
          <w:sz w:val="32"/>
          <w:szCs w:val="32"/>
          <w:lang w:eastAsia="zh-CN"/>
        </w:rPr>
        <w:t>2025</w:t>
      </w:r>
      <w:r>
        <w:rPr>
          <w:rFonts w:hint="eastAsia" w:ascii="黑体" w:hAnsi="黑体" w:eastAsia="黑体" w:cs="黑体"/>
          <w:b/>
          <w:bCs/>
          <w:color w:val="000000"/>
          <w:sz w:val="32"/>
          <w:szCs w:val="32"/>
        </w:rPr>
        <w:t>年部门预算表</w:t>
      </w:r>
    </w:p>
    <w:p w14:paraId="50344FD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一、《收支预算总表》</w:t>
      </w:r>
    </w:p>
    <w:p w14:paraId="4F1BA07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二、《部门收入总表》</w:t>
      </w:r>
    </w:p>
    <w:p w14:paraId="7FB80AC7">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三、《部门支出总表》</w:t>
      </w:r>
    </w:p>
    <w:p w14:paraId="6790BA7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四、《财政拨款收支总表》</w:t>
      </w:r>
    </w:p>
    <w:p w14:paraId="7B5003EF">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五、《一般公共预算支出表》</w:t>
      </w:r>
    </w:p>
    <w:p w14:paraId="32E26EFD">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六、《一般公共预算基本支出表》</w:t>
      </w:r>
    </w:p>
    <w:p w14:paraId="5C2C23A5">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七、《财政拨款“三公”经费支出表》</w:t>
      </w:r>
    </w:p>
    <w:p w14:paraId="2E25E71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八、《政府性基金预算支出表》</w:t>
      </w:r>
    </w:p>
    <w:p w14:paraId="07EE8523">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九、《国有资本经营预算支出表》</w:t>
      </w:r>
    </w:p>
    <w:p w14:paraId="0DD84328">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十、《部门整体支出绩效目标表》</w:t>
      </w:r>
    </w:p>
    <w:p w14:paraId="0019BA7A">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十一、《项目绩效目标表》</w:t>
      </w:r>
    </w:p>
    <w:p w14:paraId="2731E47A">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w:t>
      </w:r>
      <w:r>
        <w:rPr>
          <w:rFonts w:hint="eastAsia" w:ascii="黑体" w:hAnsi="黑体" w:eastAsia="黑体" w:cs="黑体"/>
          <w:b/>
          <w:bCs/>
          <w:color w:val="000000"/>
          <w:sz w:val="32"/>
          <w:szCs w:val="32"/>
          <w:lang w:val="en-US" w:eastAsia="zh-CN"/>
        </w:rPr>
        <w:t>三</w:t>
      </w:r>
      <w:r>
        <w:rPr>
          <w:rFonts w:hint="eastAsia" w:ascii="黑体" w:hAnsi="黑体" w:eastAsia="黑体" w:cs="黑体"/>
          <w:b/>
          <w:bCs/>
          <w:color w:val="000000"/>
          <w:sz w:val="32"/>
          <w:szCs w:val="32"/>
        </w:rPr>
        <w:t>部分  景德镇市</w:t>
      </w:r>
      <w:r>
        <w:rPr>
          <w:rFonts w:hint="eastAsia" w:ascii="黑体" w:hAnsi="黑体" w:eastAsia="黑体" w:cs="黑体"/>
          <w:b/>
          <w:bCs/>
          <w:color w:val="000000"/>
          <w:sz w:val="32"/>
          <w:szCs w:val="32"/>
          <w:lang w:val="en-US" w:eastAsia="zh-CN"/>
        </w:rPr>
        <w:t>交通运输</w:t>
      </w:r>
      <w:r>
        <w:rPr>
          <w:rFonts w:hint="eastAsia" w:ascii="黑体" w:hAnsi="黑体" w:eastAsia="黑体" w:cs="黑体"/>
          <w:b/>
          <w:bCs/>
          <w:color w:val="000000"/>
          <w:sz w:val="32"/>
          <w:szCs w:val="32"/>
        </w:rPr>
        <w:t>局</w:t>
      </w:r>
      <w:r>
        <w:rPr>
          <w:rFonts w:hint="eastAsia" w:ascii="黑体" w:hAnsi="黑体" w:eastAsia="黑体" w:cs="黑体"/>
          <w:b/>
          <w:bCs/>
          <w:color w:val="000000"/>
          <w:sz w:val="32"/>
          <w:szCs w:val="32"/>
          <w:lang w:eastAsia="zh-CN"/>
        </w:rPr>
        <w:t>2025</w:t>
      </w:r>
      <w:r>
        <w:rPr>
          <w:rFonts w:hint="eastAsia" w:ascii="黑体" w:hAnsi="黑体" w:eastAsia="黑体" w:cs="黑体"/>
          <w:b/>
          <w:bCs/>
          <w:color w:val="000000"/>
          <w:sz w:val="32"/>
          <w:szCs w:val="32"/>
        </w:rPr>
        <w:t>年部门预算情况说明</w:t>
      </w:r>
    </w:p>
    <w:p w14:paraId="19B1535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w:t>
      </w:r>
      <w:r>
        <w:rPr>
          <w:rFonts w:hint="eastAsia" w:ascii="仿宋_GB2312" w:hAnsi="仿宋_GB2312" w:eastAsia="仿宋_GB2312" w:cs="仿宋_GB2312"/>
          <w:kern w:val="2"/>
          <w:sz w:val="32"/>
          <w:szCs w:val="30"/>
          <w:lang w:eastAsia="zh-CN"/>
        </w:rPr>
        <w:t>2025</w:t>
      </w:r>
      <w:r>
        <w:rPr>
          <w:rFonts w:hint="eastAsia" w:ascii="仿宋_GB2312" w:hAnsi="仿宋_GB2312" w:eastAsia="仿宋_GB2312" w:cs="仿宋_GB2312"/>
          <w:kern w:val="2"/>
          <w:sz w:val="32"/>
          <w:szCs w:val="30"/>
        </w:rPr>
        <w:t>年部门预算收支情况说明</w:t>
      </w:r>
    </w:p>
    <w:p w14:paraId="7EC2206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二、</w:t>
      </w:r>
      <w:r>
        <w:rPr>
          <w:rFonts w:hint="eastAsia" w:ascii="仿宋_GB2312" w:hAnsi="仿宋_GB2312" w:eastAsia="仿宋_GB2312" w:cs="仿宋_GB2312"/>
          <w:kern w:val="2"/>
          <w:sz w:val="32"/>
          <w:szCs w:val="30"/>
          <w:lang w:eastAsia="zh-CN"/>
        </w:rPr>
        <w:t>2025</w:t>
      </w:r>
      <w:r>
        <w:rPr>
          <w:rFonts w:hint="eastAsia" w:ascii="仿宋_GB2312" w:hAnsi="仿宋_GB2312" w:eastAsia="仿宋_GB2312" w:cs="仿宋_GB2312"/>
          <w:kern w:val="2"/>
          <w:sz w:val="32"/>
          <w:szCs w:val="30"/>
        </w:rPr>
        <w:t>年“三公”经费预算情况说明</w:t>
      </w:r>
    </w:p>
    <w:p w14:paraId="20086EDD">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第四部分  名词解释</w:t>
      </w:r>
    </w:p>
    <w:p w14:paraId="61D28DE1">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第一部分  景德镇市</w:t>
      </w:r>
      <w:r>
        <w:rPr>
          <w:rFonts w:hint="eastAsia" w:ascii="方正小标宋简体" w:hAnsi="方正小标宋简体" w:eastAsia="方正小标宋简体" w:cs="方正小标宋简体"/>
          <w:b/>
          <w:sz w:val="32"/>
          <w:szCs w:val="30"/>
          <w:lang w:val="en-US" w:eastAsia="zh-CN"/>
        </w:rPr>
        <w:t>交通运输</w:t>
      </w:r>
      <w:r>
        <w:rPr>
          <w:rFonts w:hint="eastAsia" w:ascii="方正小标宋简体" w:hAnsi="方正小标宋简体" w:eastAsia="方正小标宋简体" w:cs="方正小标宋简体"/>
          <w:b/>
          <w:sz w:val="32"/>
          <w:szCs w:val="30"/>
        </w:rPr>
        <w:t>局概况</w:t>
      </w:r>
    </w:p>
    <w:p w14:paraId="048B803D">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asciiTheme="minorEastAsia" w:hAnsiTheme="minorEastAsia"/>
          <w:b/>
          <w:sz w:val="36"/>
          <w:szCs w:val="36"/>
        </w:rPr>
      </w:pPr>
    </w:p>
    <w:p w14:paraId="02691211">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Theme="minorEastAsia" w:hAnsiTheme="minorEastAsia"/>
          <w:b/>
          <w:sz w:val="36"/>
          <w:szCs w:val="36"/>
        </w:rPr>
      </w:pPr>
      <w:r>
        <w:rPr>
          <w:rFonts w:hint="eastAsia" w:ascii="黑体" w:hAnsi="黑体" w:eastAsia="黑体" w:cs="黑体"/>
          <w:b/>
          <w:sz w:val="32"/>
          <w:szCs w:val="32"/>
        </w:rPr>
        <w:t>一、部门主要职责</w:t>
      </w:r>
    </w:p>
    <w:p w14:paraId="4A53E26D">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景德镇市交通运输局是主管全市交通运输工作的市政府组成部门。承担的主要职责是：</w:t>
      </w:r>
    </w:p>
    <w:p w14:paraId="72BD7EEB">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（一）贯彻执行国家和省有关交通行业的法律法规和政策，拟订有关地方性政策措施。在全市经济社会发展总体规划框架内，拟定全市公路、水路交通运输及枢纽、站场发展规划及年度计划并组织实施。</w:t>
      </w:r>
    </w:p>
    <w:p w14:paraId="1367D815">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（二）负责提出公路、水路固定资产投资规模和方向、市财政性资金安排意见，按市政府规定权限审批、核准全市规划内和年度计划规模内固定资产投资项目。</w:t>
      </w:r>
    </w:p>
    <w:p w14:paraId="59FDCAE8">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（三）承担道路、水路运输市场监管责任。贯彻执行国家和省道路、水路运输有关政策、准入制度、营运规范、技术标准并监督实施。指导城乡客运及有关设施规划和管理工作。</w:t>
      </w:r>
    </w:p>
    <w:p w14:paraId="39E3792E">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（四）承担公路、水路建设市场监管责任。贯彻执行公路、水路工程建设相关政策、制度、技术标准并监督实施；指导交通运输基础设施管理和维护工作，按规定负责港口规划和岸线使用管理工作。</w:t>
      </w:r>
    </w:p>
    <w:p w14:paraId="54B83C4E">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（五）承担水上交通运输安全监管责任。负责水运运输、港口及渡运安全监督管理、海事管理（船舶检验）工作，负责渔船检验和监督管理工作。</w:t>
      </w:r>
    </w:p>
    <w:p w14:paraId="602893F3">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（六）承担所辖公路路政管理和超限超载治理责任，依法维护路产路权，加强公路保护；指导农村公路养护、管理工作。</w:t>
      </w:r>
    </w:p>
    <w:p w14:paraId="7FEF86BA">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七）负责全市所辖水域的水上交通安全和所辖道路运输企业客货运输安全监管工作，负责道路、水路等交通运输建设工程建设安全生产监督管理工作；指导公路、水路行业安全生产和应急管理工作。按规定组织协调重点物资运输和紧急客货运输。</w:t>
      </w:r>
    </w:p>
    <w:p w14:paraId="13C0A4E4">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（八）指导全市交通运输行业有关体制改革工作；依照法定权限，指导交通运输综合行政执法有关工作；负责处理行业投诉和行业仲裁纠纷；维护交通运输行业平等竞争秩序。</w:t>
      </w:r>
    </w:p>
    <w:p w14:paraId="501DB922">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（九）指导交通运输信息化建设，监测分析运行情况，开展相关统计工作，发布有关信息。负责公路、水路运输行业生态环境保护和节能减排工作，负责船舶及相关水上设施防止污染及污染事故的应急处置工作。</w:t>
      </w:r>
    </w:p>
    <w:p w14:paraId="385F5F04">
      <w:pPr>
        <w:pStyle w:val="4"/>
        <w:spacing w:line="600" w:lineRule="exact"/>
        <w:ind w:firstLine="645"/>
        <w:jc w:val="both"/>
        <w:rPr>
          <w:rFonts w:hint="eastAsia" w:ascii="仿宋_GB2312" w:hAnsi="仿宋" w:eastAsia="仿宋_GB2312" w:cs="Times New Roman"/>
          <w:kern w:val="2"/>
          <w:sz w:val="32"/>
          <w:szCs w:val="32"/>
        </w:rPr>
      </w:pPr>
      <w:r>
        <w:rPr>
          <w:rFonts w:hint="eastAsia" w:ascii="仿宋_GB2312" w:hAnsi="仿宋" w:eastAsia="仿宋_GB2312" w:cs="Times New Roman"/>
          <w:kern w:val="2"/>
          <w:sz w:val="32"/>
          <w:szCs w:val="32"/>
        </w:rPr>
        <w:t>（十）承担交通战备及国防动员委员会有关工作。</w:t>
      </w:r>
    </w:p>
    <w:p w14:paraId="5534E4D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ascii="Adobe 仿宋 Std R" w:hAnsi="Adobe 仿宋 Std R" w:eastAsia="Adobe 仿宋 Std R"/>
          <w:sz w:val="32"/>
          <w:szCs w:val="30"/>
        </w:rPr>
      </w:pPr>
      <w:r>
        <w:rPr>
          <w:rFonts w:hint="eastAsia" w:ascii="仿宋_GB2312" w:hAnsi="仿宋" w:eastAsia="仿宋_GB2312" w:cs="Times New Roman"/>
          <w:kern w:val="2"/>
          <w:sz w:val="32"/>
          <w:szCs w:val="32"/>
        </w:rPr>
        <w:t>（十一）承办市人民政府交办的其他事项。</w:t>
      </w:r>
    </w:p>
    <w:p w14:paraId="3B9670B2">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b/>
          <w:sz w:val="36"/>
          <w:szCs w:val="36"/>
        </w:rPr>
      </w:pPr>
      <w:r>
        <w:rPr>
          <w:rFonts w:hint="eastAsia" w:ascii="黑体" w:hAnsi="黑体" w:eastAsia="黑体" w:cs="黑体"/>
          <w:b/>
          <w:sz w:val="32"/>
          <w:szCs w:val="32"/>
        </w:rPr>
        <w:t>二、机构设置及人员情况</w:t>
      </w:r>
    </w:p>
    <w:p w14:paraId="7FB3A4A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2025年景德镇市交通运输局共有预算单位4个，包括景德镇市交通运输局本级和3个二级预算单位，二级预算单位具体包括：</w:t>
      </w:r>
      <w:r>
        <w:rPr>
          <w:rFonts w:hint="eastAsia" w:ascii="仿宋_GB2312" w:hAnsi="仿宋" w:eastAsia="仿宋_GB2312" w:cs="Times New Roman"/>
          <w:kern w:val="2"/>
          <w:sz w:val="32"/>
          <w:szCs w:val="32"/>
          <w:lang w:val="en-US" w:eastAsia="zh-CN"/>
        </w:rPr>
        <w:t>景德镇市交通运输综合执法支队、景德镇市交通运输事业发展中心、景德镇市邮政业安全中心。</w:t>
      </w:r>
    </w:p>
    <w:p w14:paraId="51CCD12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编制人数共计183人，其中：行政编制人数19人、参照公务员管理的事业编制人数39人、全部补助事业编制人数125人、部分补助事业编制人数0人。实有人数共计294人，其中：在职人数小计172人，包括行政在职人数23人、参照公务员管理的事业人员在职人数37人、全部补助事业人员在职人数77人，部分补助事业人员在职人数35人；离休人数小计4人；退休人数小计118人。</w:t>
      </w:r>
    </w:p>
    <w:p w14:paraId="06CEE64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78EE7D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2170213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69100B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4F31088">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第</w:t>
      </w:r>
      <w:r>
        <w:rPr>
          <w:rFonts w:hint="eastAsia" w:ascii="方正小标宋简体" w:hAnsi="方正小标宋简体" w:eastAsia="方正小标宋简体" w:cs="方正小标宋简体"/>
          <w:b/>
          <w:sz w:val="32"/>
          <w:szCs w:val="30"/>
          <w:lang w:val="en-US" w:eastAsia="zh-CN"/>
        </w:rPr>
        <w:t>二</w:t>
      </w:r>
      <w:r>
        <w:rPr>
          <w:rFonts w:hint="eastAsia" w:ascii="方正小标宋简体" w:hAnsi="方正小标宋简体" w:eastAsia="方正小标宋简体" w:cs="方正小标宋简体"/>
          <w:b/>
          <w:sz w:val="32"/>
          <w:szCs w:val="30"/>
        </w:rPr>
        <w:t xml:space="preserve">部分  </w:t>
      </w:r>
      <w:r>
        <w:rPr>
          <w:rFonts w:hint="eastAsia" w:ascii="方正小标宋简体" w:hAnsi="方正小标宋简体" w:eastAsia="方正小标宋简体" w:cs="方正小标宋简体"/>
          <w:b/>
          <w:sz w:val="32"/>
          <w:szCs w:val="30"/>
        </w:rPr>
        <w:fldChar w:fldCharType="begin"/>
      </w:r>
      <w:r>
        <w:rPr>
          <w:rFonts w:hint="eastAsia" w:ascii="方正小标宋简体" w:hAnsi="方正小标宋简体" w:eastAsia="方正小标宋简体" w:cs="方正小标宋简体"/>
          <w:b/>
          <w:sz w:val="32"/>
          <w:szCs w:val="30"/>
        </w:rPr>
        <w:instrText xml:space="preserve">MERGEFIELD ${page400644146.ds509943833_REP_JXJC_AGENCY_WZR_NAME}</w:instrText>
      </w:r>
      <w:r>
        <w:rPr>
          <w:rFonts w:hint="eastAsia" w:ascii="方正小标宋简体" w:hAnsi="方正小标宋简体" w:eastAsia="方正小标宋简体" w:cs="方正小标宋简体"/>
          <w:b/>
          <w:sz w:val="32"/>
          <w:szCs w:val="30"/>
        </w:rPr>
        <w:fldChar w:fldCharType="separate"/>
      </w:r>
      <w:r>
        <w:rPr>
          <w:rFonts w:hint="eastAsia" w:ascii="方正小标宋简体" w:hAnsi="方正小标宋简体" w:eastAsia="方正小标宋简体" w:cs="方正小标宋简体"/>
          <w:b/>
          <w:sz w:val="32"/>
          <w:szCs w:val="30"/>
          <w:lang w:eastAsia="zh-CN"/>
        </w:rPr>
        <w:t>景德镇市交通运输局</w:t>
      </w:r>
      <w:r>
        <w:rPr>
          <w:rFonts w:hint="eastAsia" w:ascii="方正小标宋简体" w:hAnsi="方正小标宋简体" w:eastAsia="方正小标宋简体" w:cs="方正小标宋简体"/>
          <w:b/>
          <w:sz w:val="32"/>
          <w:szCs w:val="30"/>
        </w:rPr>
        <w:fldChar w:fldCharType="end"/>
      </w:r>
      <w:r>
        <w:rPr>
          <w:rFonts w:hint="eastAsia" w:ascii="方正小标宋简体" w:hAnsi="方正小标宋简体" w:eastAsia="方正小标宋简体" w:cs="方正小标宋简体"/>
          <w:b/>
          <w:sz w:val="32"/>
          <w:szCs w:val="30"/>
          <w:lang w:eastAsia="zh-CN"/>
        </w:rPr>
        <w:t>2025</w:t>
      </w:r>
      <w:r>
        <w:rPr>
          <w:rFonts w:hint="eastAsia" w:ascii="方正小标宋简体" w:hAnsi="方正小标宋简体" w:eastAsia="方正小标宋简体" w:cs="方正小标宋简体"/>
          <w:b/>
          <w:sz w:val="32"/>
          <w:szCs w:val="30"/>
        </w:rPr>
        <w:t>年部门预算表</w:t>
      </w:r>
    </w:p>
    <w:p w14:paraId="0A8406F7">
      <w:pPr>
        <w:keepNext w:val="0"/>
        <w:keepLines w:val="0"/>
        <w:pageBreakBefore w:val="0"/>
        <w:widowControl/>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drawing>
          <wp:inline distT="0" distB="0" distL="114300" distR="114300">
            <wp:extent cx="5265420" cy="2620010"/>
            <wp:effectExtent l="0" t="0" r="11430" b="8890"/>
            <wp:docPr id="11" name="图片 1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
                    <pic:cNvPicPr>
                      <a:picLocks noChangeAspect="1"/>
                    </pic:cNvPicPr>
                  </pic:nvPicPr>
                  <pic:blipFill>
                    <a:blip r:embed="rId5"/>
                    <a:stretch>
                      <a:fillRect/>
                    </a:stretch>
                  </pic:blipFill>
                  <pic:spPr>
                    <a:xfrm>
                      <a:off x="0" y="0"/>
                      <a:ext cx="5265420" cy="262001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73040" cy="3912870"/>
            <wp:effectExtent l="0" t="0" r="3810" b="11430"/>
            <wp:docPr id="10" name="图片 1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
                    <pic:cNvPicPr>
                      <a:picLocks noChangeAspect="1"/>
                    </pic:cNvPicPr>
                  </pic:nvPicPr>
                  <pic:blipFill>
                    <a:blip r:embed="rId6"/>
                    <a:stretch>
                      <a:fillRect/>
                    </a:stretch>
                  </pic:blipFill>
                  <pic:spPr>
                    <a:xfrm>
                      <a:off x="0" y="0"/>
                      <a:ext cx="5273040" cy="391287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74310" cy="5814060"/>
            <wp:effectExtent l="0" t="0" r="2540" b="15240"/>
            <wp:docPr id="9" name="图片 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
                    <pic:cNvPicPr>
                      <a:picLocks noChangeAspect="1"/>
                    </pic:cNvPicPr>
                  </pic:nvPicPr>
                  <pic:blipFill>
                    <a:blip r:embed="rId7"/>
                    <a:stretch>
                      <a:fillRect/>
                    </a:stretch>
                  </pic:blipFill>
                  <pic:spPr>
                    <a:xfrm>
                      <a:off x="0" y="0"/>
                      <a:ext cx="5274310" cy="581406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70500" cy="2350770"/>
            <wp:effectExtent l="0" t="0" r="6350" b="11430"/>
            <wp:docPr id="8" name="图片 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4"/>
                    <pic:cNvPicPr>
                      <a:picLocks noChangeAspect="1"/>
                    </pic:cNvPicPr>
                  </pic:nvPicPr>
                  <pic:blipFill>
                    <a:blip r:embed="rId8"/>
                    <a:stretch>
                      <a:fillRect/>
                    </a:stretch>
                  </pic:blipFill>
                  <pic:spPr>
                    <a:xfrm>
                      <a:off x="0" y="0"/>
                      <a:ext cx="5270500" cy="235077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72405" cy="4746625"/>
            <wp:effectExtent l="0" t="0" r="4445" b="15875"/>
            <wp:docPr id="7" name="图片 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5"/>
                    <pic:cNvPicPr>
                      <a:picLocks noChangeAspect="1"/>
                    </pic:cNvPicPr>
                  </pic:nvPicPr>
                  <pic:blipFill>
                    <a:blip r:embed="rId9"/>
                    <a:stretch>
                      <a:fillRect/>
                    </a:stretch>
                  </pic:blipFill>
                  <pic:spPr>
                    <a:xfrm>
                      <a:off x="0" y="0"/>
                      <a:ext cx="5272405" cy="4746625"/>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38750" cy="7067550"/>
            <wp:effectExtent l="0" t="0" r="0" b="0"/>
            <wp:docPr id="6" name="图片 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
                    <pic:cNvPicPr>
                      <a:picLocks noChangeAspect="1"/>
                    </pic:cNvPicPr>
                  </pic:nvPicPr>
                  <pic:blipFill>
                    <a:blip r:embed="rId10"/>
                    <a:stretch>
                      <a:fillRect/>
                    </a:stretch>
                  </pic:blipFill>
                  <pic:spPr>
                    <a:xfrm>
                      <a:off x="0" y="0"/>
                      <a:ext cx="5238750" cy="706755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65420" cy="1427480"/>
            <wp:effectExtent l="0" t="0" r="11430" b="1270"/>
            <wp:docPr id="5" name="图片 5"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7"/>
                    <pic:cNvPicPr>
                      <a:picLocks noChangeAspect="1"/>
                    </pic:cNvPicPr>
                  </pic:nvPicPr>
                  <pic:blipFill>
                    <a:blip r:embed="rId11"/>
                    <a:stretch>
                      <a:fillRect/>
                    </a:stretch>
                  </pic:blipFill>
                  <pic:spPr>
                    <a:xfrm>
                      <a:off x="0" y="0"/>
                      <a:ext cx="5265420" cy="142748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65420" cy="1297305"/>
            <wp:effectExtent l="0" t="0" r="11430" b="17145"/>
            <wp:docPr id="4" name="图片 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
                    <pic:cNvPicPr>
                      <a:picLocks noChangeAspect="1"/>
                    </pic:cNvPicPr>
                  </pic:nvPicPr>
                  <pic:blipFill>
                    <a:blip r:embed="rId12"/>
                    <a:stretch>
                      <a:fillRect/>
                    </a:stretch>
                  </pic:blipFill>
                  <pic:spPr>
                    <a:xfrm>
                      <a:off x="0" y="0"/>
                      <a:ext cx="5265420" cy="1297305"/>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67960" cy="1311910"/>
            <wp:effectExtent l="0" t="0" r="8890" b="2540"/>
            <wp:docPr id="3" name="图片 3"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
                    <pic:cNvPicPr>
                      <a:picLocks noChangeAspect="1"/>
                    </pic:cNvPicPr>
                  </pic:nvPicPr>
                  <pic:blipFill>
                    <a:blip r:embed="rId13"/>
                    <a:stretch>
                      <a:fillRect/>
                    </a:stretch>
                  </pic:blipFill>
                  <pic:spPr>
                    <a:xfrm>
                      <a:off x="0" y="0"/>
                      <a:ext cx="5267960" cy="131191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70500" cy="5100955"/>
            <wp:effectExtent l="0" t="0" r="6350" b="4445"/>
            <wp:docPr id="2" name="图片 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0"/>
                    <pic:cNvPicPr>
                      <a:picLocks noChangeAspect="1"/>
                    </pic:cNvPicPr>
                  </pic:nvPicPr>
                  <pic:blipFill>
                    <a:blip r:embed="rId14"/>
                    <a:stretch>
                      <a:fillRect/>
                    </a:stretch>
                  </pic:blipFill>
                  <pic:spPr>
                    <a:xfrm>
                      <a:off x="0" y="0"/>
                      <a:ext cx="5270500" cy="5100955"/>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66055" cy="6501765"/>
            <wp:effectExtent l="0" t="0" r="10795" b="13335"/>
            <wp:docPr id="1" name="图片 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1"/>
                    <pic:cNvPicPr>
                      <a:picLocks noChangeAspect="1"/>
                    </pic:cNvPicPr>
                  </pic:nvPicPr>
                  <pic:blipFill>
                    <a:blip r:embed="rId15"/>
                    <a:stretch>
                      <a:fillRect/>
                    </a:stretch>
                  </pic:blipFill>
                  <pic:spPr>
                    <a:xfrm>
                      <a:off x="0" y="0"/>
                      <a:ext cx="5266055" cy="6501765"/>
                    </a:xfrm>
                    <a:prstGeom prst="rect">
                      <a:avLst/>
                    </a:prstGeom>
                  </pic:spPr>
                </pic:pic>
              </a:graphicData>
            </a:graphic>
          </wp:inline>
        </w:drawing>
      </w:r>
    </w:p>
    <w:p w14:paraId="7D3AFF2E">
      <w:pPr>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br w:type="page"/>
      </w:r>
    </w:p>
    <w:p w14:paraId="36C3D6F9">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第</w:t>
      </w:r>
      <w:r>
        <w:rPr>
          <w:rFonts w:hint="eastAsia" w:ascii="方正小标宋简体" w:hAnsi="方正小标宋简体" w:eastAsia="方正小标宋简体" w:cs="方正小标宋简体"/>
          <w:b/>
          <w:sz w:val="32"/>
          <w:szCs w:val="30"/>
          <w:lang w:val="en-US" w:eastAsia="zh-CN"/>
        </w:rPr>
        <w:t>三</w:t>
      </w:r>
      <w:r>
        <w:rPr>
          <w:rFonts w:hint="eastAsia" w:ascii="方正小标宋简体" w:hAnsi="方正小标宋简体" w:eastAsia="方正小标宋简体" w:cs="方正小标宋简体"/>
          <w:b/>
          <w:sz w:val="32"/>
          <w:szCs w:val="30"/>
        </w:rPr>
        <w:t xml:space="preserve">部分  </w:t>
      </w:r>
      <w:r>
        <w:rPr>
          <w:rFonts w:hint="eastAsia" w:ascii="方正小标宋简体" w:hAnsi="方正小标宋简体" w:eastAsia="方正小标宋简体" w:cs="方正小标宋简体"/>
          <w:b/>
          <w:sz w:val="32"/>
          <w:szCs w:val="30"/>
        </w:rPr>
        <w:fldChar w:fldCharType="begin"/>
      </w:r>
      <w:r>
        <w:rPr>
          <w:rFonts w:hint="eastAsia" w:ascii="方正小标宋简体" w:hAnsi="方正小标宋简体" w:eastAsia="方正小标宋简体" w:cs="方正小标宋简体"/>
          <w:b/>
          <w:sz w:val="32"/>
          <w:szCs w:val="30"/>
        </w:rPr>
        <w:instrText xml:space="preserve">MERGEFIELD ${page400644146.ds509943833_REP_JXJC_AGENCY_WZR_NAME}</w:instrText>
      </w:r>
      <w:r>
        <w:rPr>
          <w:rFonts w:hint="eastAsia" w:ascii="方正小标宋简体" w:hAnsi="方正小标宋简体" w:eastAsia="方正小标宋简体" w:cs="方正小标宋简体"/>
          <w:b/>
          <w:sz w:val="32"/>
          <w:szCs w:val="30"/>
        </w:rPr>
        <w:fldChar w:fldCharType="separate"/>
      </w:r>
      <w:r>
        <w:rPr>
          <w:rFonts w:hint="eastAsia" w:ascii="方正小标宋简体" w:hAnsi="方正小标宋简体" w:eastAsia="方正小标宋简体" w:cs="方正小标宋简体"/>
          <w:b/>
          <w:sz w:val="32"/>
          <w:szCs w:val="30"/>
          <w:lang w:eastAsia="zh-CN"/>
        </w:rPr>
        <w:t>景德镇市交通运输局</w:t>
      </w:r>
      <w:r>
        <w:rPr>
          <w:rFonts w:hint="eastAsia" w:ascii="方正小标宋简体" w:hAnsi="方正小标宋简体" w:eastAsia="方正小标宋简体" w:cs="方正小标宋简体"/>
          <w:b/>
          <w:sz w:val="32"/>
          <w:szCs w:val="30"/>
        </w:rPr>
        <w:fldChar w:fldCharType="end"/>
      </w:r>
      <w:r>
        <w:rPr>
          <w:rFonts w:hint="eastAsia" w:ascii="方正小标宋简体" w:hAnsi="方正小标宋简体" w:eastAsia="方正小标宋简体" w:cs="方正小标宋简体"/>
          <w:b/>
          <w:sz w:val="32"/>
          <w:szCs w:val="30"/>
          <w:lang w:eastAsia="zh-CN"/>
        </w:rPr>
        <w:t>2025</w:t>
      </w:r>
      <w:r>
        <w:rPr>
          <w:rFonts w:hint="eastAsia" w:ascii="方正小标宋简体" w:hAnsi="方正小标宋简体" w:eastAsia="方正小标宋简体" w:cs="方正小标宋简体"/>
          <w:b/>
          <w:sz w:val="32"/>
          <w:szCs w:val="30"/>
        </w:rPr>
        <w:t>年部门预算情况说明</w:t>
      </w:r>
    </w:p>
    <w:p w14:paraId="710B155E">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ascii="仿宋_GB2312" w:eastAsia="仿宋_GB2312"/>
          <w:b/>
          <w:sz w:val="32"/>
          <w:szCs w:val="30"/>
        </w:rPr>
      </w:pPr>
    </w:p>
    <w:p w14:paraId="27A66DED">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楷体_GB2312" w:eastAsia="楷体_GB2312"/>
          <w:b/>
          <w:sz w:val="32"/>
          <w:szCs w:val="30"/>
        </w:rPr>
      </w:pPr>
      <w:r>
        <w:rPr>
          <w:rFonts w:hint="eastAsia" w:ascii="黑体" w:hAnsi="黑体" w:eastAsia="黑体" w:cs="黑体"/>
          <w:b/>
          <w:sz w:val="32"/>
          <w:szCs w:val="32"/>
        </w:rPr>
        <w:t>一、</w:t>
      </w:r>
      <w:r>
        <w:rPr>
          <w:rFonts w:hint="eastAsia" w:ascii="黑体" w:hAnsi="黑体" w:eastAsia="黑体" w:cs="黑体"/>
          <w:b/>
          <w:sz w:val="32"/>
          <w:szCs w:val="32"/>
          <w:lang w:eastAsia="zh-CN"/>
        </w:rPr>
        <w:t>2025</w:t>
      </w:r>
      <w:r>
        <w:rPr>
          <w:rFonts w:hint="eastAsia" w:ascii="黑体" w:hAnsi="黑体" w:eastAsia="黑体" w:cs="黑体"/>
          <w:b/>
          <w:sz w:val="32"/>
          <w:szCs w:val="32"/>
        </w:rPr>
        <w:t>年部门预算收支情况说明</w:t>
      </w:r>
    </w:p>
    <w:p w14:paraId="0BBF4E48">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ascii="Adobe 仿宋 Std R" w:hAnsi="Adobe 仿宋 Std R" w:eastAsia="Adobe 仿宋 Std R"/>
          <w:b/>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一</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收入预算情况</w:t>
      </w:r>
    </w:p>
    <w:p w14:paraId="7F064BC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局收入预算总额为3388.55万元，较上年预算安排增加410.90万元，主要原因是上年结转资金纳入预算管理，其中：财政拨款收入2960.62万元，较上年预算安排减少0.86万元，主要原因是2024年有人员退休；使用非财政拨款结余0.00万元，较上年预算安排减少16.17万元，主要原因是局本级及下属单位2025年非财政拨款减少；上年结转427.94万元，较上年预算安排增加427.94万元，主要原因是下属单位2024年存在未使用完的资金，结转至2025年使用。</w:t>
      </w:r>
    </w:p>
    <w:p w14:paraId="11FA335C">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二</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支出预算情况</w:t>
      </w:r>
    </w:p>
    <w:p w14:paraId="5DBD89A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2025年景德镇市交通运输局支出预算总额为3388.55万元，较上年预算安排增加410.90万元，主要原因是上年结转资金纳入预算管理；其中：</w:t>
      </w:r>
    </w:p>
    <w:p w14:paraId="5F6D6D9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项目类别划分：基本支出2960.62万元，较上年预算安排减少17.03万元；其中：工资福利支出2671.10万元，商品和服务支出188.88万元，对个人和家庭的补助90.12万元，资本性支出10.51万元。项目支出427.94万元，较上年预算安排增加427.94万元；其中：商品和服务支出427.94万元，。</w:t>
      </w:r>
    </w:p>
    <w:p w14:paraId="2BCAD59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highlight w:val="none"/>
          <w:lang w:val="en-US" w:eastAsia="zh-CN" w:bidi="ar-SA"/>
        </w:rPr>
        <w:t>按支出功能科目划分：社会保障和就业支出317.85万元，较上年预算安排增加1.37万元；</w:t>
      </w:r>
      <w:r>
        <w:rPr>
          <w:rFonts w:hint="eastAsia" w:ascii="仿宋_GB2312" w:hAnsi="仿宋_GB2312" w:eastAsia="仿宋_GB2312" w:cs="仿宋_GB2312"/>
          <w:kern w:val="2"/>
          <w:sz w:val="32"/>
          <w:szCs w:val="30"/>
          <w:lang w:val="en-US" w:eastAsia="zh-CN" w:bidi="ar-SA"/>
        </w:rPr>
        <w:t>卫生健康支出128.46万元，较上年预算安排增加0.55万元；交通运输支出2784.46万元，较上年预算安排增加403.63万元；资源勘探工业信息等支出4.50万元，较上年预算安排增加4.50万元；住房保障支出153.28万元，较上年预算安排增加0.84万元。</w:t>
      </w:r>
    </w:p>
    <w:p w14:paraId="3B739B4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按支出经济分类划分：工资福利支出2671.10万元，较上年预算安排增加9.50万元；商品和服务支出</w:t>
      </w:r>
      <w:r>
        <w:rPr>
          <w:rFonts w:hint="eastAsia" w:ascii="仿宋_GB2312" w:hAnsi="仿宋_GB2312" w:eastAsia="仿宋_GB2312" w:cs="仿宋_GB2312"/>
          <w:kern w:val="2"/>
          <w:sz w:val="32"/>
          <w:szCs w:val="30"/>
          <w:highlight w:val="none"/>
          <w:lang w:val="en-US" w:eastAsia="zh-CN" w:bidi="ar-SA"/>
        </w:rPr>
        <w:t>188.88万元，较上年预算安排减少27.49万元</w:t>
      </w:r>
      <w:r>
        <w:rPr>
          <w:rFonts w:hint="eastAsia" w:ascii="仿宋_GB2312" w:hAnsi="仿宋_GB2312" w:eastAsia="仿宋_GB2312" w:cs="仿宋_GB2312"/>
          <w:kern w:val="2"/>
          <w:sz w:val="32"/>
          <w:szCs w:val="30"/>
          <w:lang w:val="en-US" w:eastAsia="zh-CN" w:bidi="ar-SA"/>
        </w:rPr>
        <w:t>；对个人和家庭的补助90.12万元，较上年预算安排增加1.39万元；资本性支出10.51万元，较上年预算安排减少0.45万元。</w:t>
      </w:r>
    </w:p>
    <w:p w14:paraId="483E6D9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三</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财政拨款支出情况</w:t>
      </w:r>
    </w:p>
    <w:p w14:paraId="43144A4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2025年景德镇市交通运输局财政拨款支出预算总额2960.62万元，较上年预算安排减少0.86万元，主要原因是2024年有人员退休；</w:t>
      </w:r>
    </w:p>
    <w:p w14:paraId="65DB541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功能科目划分：社会保障和就业支出317.85万元，较上年预算安排增加1.37万元；卫生健康支出128.46万元，较上年预算安排增加0.55万元；交通运输支出2361.02万元，较上年预算安排减少3.64万元；资源勘探工业信息等支出4.50万元，较上年预算安排增加4.50万元；住房保障支出153.28万元，较上年预算安排增加0.84万元。</w:t>
      </w:r>
    </w:p>
    <w:p w14:paraId="1345E18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项目类别划分：基本支出2960.62万元，较上年预算安排减少0.86万元；其中：工资福利支出2671.10万元，较上年预算安排增加9.50万元；商品和服务支出188.88万元，较上年预算安排减少27.49万元；对个人和家庭的补助90.12万元，较上年预算安排增加1.39万元；资本性支出10.51万元，较上年预算安排减少0.45万元。</w:t>
      </w:r>
    </w:p>
    <w:p w14:paraId="39BEAF34">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四</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政府性基金情况</w:t>
      </w:r>
    </w:p>
    <w:p w14:paraId="6561669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本部门没有使用政府性基金预算拨款安排的支出。</w:t>
      </w:r>
    </w:p>
    <w:p w14:paraId="722DEFBD">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rPr>
        <w:t>（五）国有资本经营情况</w:t>
      </w:r>
    </w:p>
    <w:p w14:paraId="246D4C2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本部门没有使用国有资本经营预算拨款安排的支出。</w:t>
      </w:r>
    </w:p>
    <w:p w14:paraId="7FD78BD3">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六</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机关运行经费等重要事项的说明</w:t>
      </w:r>
    </w:p>
    <w:p w14:paraId="0E09CEE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ascii="Adobe 仿宋 Std R" w:hAnsi="Adobe 仿宋 Std R" w:eastAsia="Adobe 仿宋 Std R"/>
          <w:sz w:val="32"/>
          <w:szCs w:val="32"/>
        </w:rPr>
      </w:pPr>
      <w:r>
        <w:rPr>
          <w:rFonts w:hint="eastAsia" w:ascii="仿宋_GB2312" w:hAnsi="仿宋_GB2312" w:eastAsia="仿宋_GB2312" w:cs="仿宋_GB2312"/>
          <w:kern w:val="2"/>
          <w:sz w:val="32"/>
          <w:szCs w:val="30"/>
          <w:lang w:val="en-US" w:eastAsia="zh-CN" w:bidi="ar-SA"/>
        </w:rPr>
        <w:t>2025年部门机关运行费预算116.17万元，较上年预算减少3.03万元，下降2.54%，主要原因是</w:t>
      </w:r>
      <w:r>
        <w:rPr>
          <w:rFonts w:hint="eastAsia" w:ascii="仿宋_GB2312" w:hAnsi="仿宋_GB2312" w:eastAsia="仿宋_GB2312" w:cs="仿宋_GB2312"/>
          <w:kern w:val="2"/>
          <w:sz w:val="32"/>
          <w:szCs w:val="30"/>
          <w:u w:val="none"/>
          <w:lang w:val="en-US" w:eastAsia="zh-CN" w:bidi="ar-SA"/>
        </w:rPr>
        <w:t>厉行节约，严格控制机关运行经费</w:t>
      </w:r>
      <w:r>
        <w:rPr>
          <w:rFonts w:hint="eastAsia" w:ascii="仿宋_GB2312" w:hAnsi="仿宋_GB2312" w:eastAsia="仿宋_GB2312" w:cs="仿宋_GB2312"/>
          <w:kern w:val="2"/>
          <w:sz w:val="32"/>
          <w:szCs w:val="30"/>
          <w:lang w:val="en-US" w:eastAsia="zh-CN" w:bidi="ar-SA"/>
        </w:rPr>
        <w:t>。</w:t>
      </w:r>
    </w:p>
    <w:p w14:paraId="60B9C0D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七</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政府采购情况</w:t>
      </w:r>
    </w:p>
    <w:p w14:paraId="7E22075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2025年景德镇市交通运输局部门所属各单位政府采购总额10.51万元，其中：政府采购货物预算10.51万元，政府采购工程预算0.00万元，政府采购服务预算0.00万元。</w:t>
      </w:r>
    </w:p>
    <w:p w14:paraId="16E98A45">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八</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国有资产占有使用情况</w:t>
      </w:r>
    </w:p>
    <w:p w14:paraId="1790D9E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截至2024年8月31日，</w:t>
      </w:r>
      <w:r>
        <w:rPr>
          <w:rFonts w:hint="eastAsia" w:ascii="仿宋_GB2312" w:hAnsi="仿宋_GB2312" w:eastAsia="仿宋_GB2312" w:cs="仿宋_GB2312"/>
          <w:kern w:val="2"/>
          <w:sz w:val="32"/>
          <w:szCs w:val="30"/>
          <w:lang w:val="en-US" w:eastAsia="zh-CN" w:bidi="ar-SA"/>
        </w:rPr>
        <w:fldChar w:fldCharType="begin"/>
      </w:r>
      <w:r>
        <w:rPr>
          <w:rFonts w:hint="eastAsia" w:ascii="仿宋_GB2312" w:hAnsi="仿宋_GB2312" w:eastAsia="仿宋_GB2312" w:cs="仿宋_GB2312"/>
          <w:kern w:val="2"/>
          <w:sz w:val="32"/>
          <w:szCs w:val="30"/>
          <w:lang w:val="en-US" w:eastAsia="zh-CN" w:bidi="ar-SA"/>
        </w:rPr>
        <w:instrText xml:space="preserve">MERGEFIELD ${page400644146.ds532982397_REP_JX_BAS_AGENCY_INFO_ZYFRS_S_CLSYS}</w:instrText>
      </w:r>
      <w:r>
        <w:rPr>
          <w:rFonts w:hint="eastAsia" w:ascii="仿宋_GB2312" w:hAnsi="仿宋_GB2312" w:eastAsia="仿宋_GB2312" w:cs="仿宋_GB2312"/>
          <w:kern w:val="2"/>
          <w:sz w:val="32"/>
          <w:szCs w:val="30"/>
          <w:lang w:val="en-US" w:eastAsia="zh-CN" w:bidi="ar-SA"/>
        </w:rPr>
        <w:fldChar w:fldCharType="separate"/>
      </w:r>
      <w:r>
        <w:rPr>
          <w:rFonts w:hint="eastAsia" w:ascii="仿宋_GB2312" w:hAnsi="仿宋_GB2312" w:eastAsia="仿宋_GB2312" w:cs="仿宋_GB2312"/>
          <w:kern w:val="2"/>
          <w:sz w:val="32"/>
          <w:szCs w:val="30"/>
          <w:lang w:val="en-US" w:eastAsia="zh-CN" w:bidi="ar-SA"/>
        </w:rPr>
        <w:t>部门共有车辆8辆；其中：一般业务用车实有数7辆，特殊业务用车实有数1辆，执法执勤用车实有数0辆。</w:t>
      </w:r>
      <w:r>
        <w:rPr>
          <w:rFonts w:hint="eastAsia" w:ascii="仿宋_GB2312" w:hAnsi="仿宋_GB2312" w:eastAsia="仿宋_GB2312" w:cs="仿宋_GB2312"/>
          <w:kern w:val="2"/>
          <w:sz w:val="32"/>
          <w:szCs w:val="30"/>
          <w:lang w:val="en-US" w:eastAsia="zh-CN" w:bidi="ar-SA"/>
        </w:rPr>
        <w:fldChar w:fldCharType="end"/>
      </w:r>
    </w:p>
    <w:p w14:paraId="3923893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ascii="Adobe 仿宋 Std R" w:hAnsi="Adobe 仿宋 Std R" w:eastAsia="Adobe 仿宋 Std R"/>
          <w:sz w:val="32"/>
          <w:szCs w:val="32"/>
        </w:rPr>
      </w:pPr>
      <w:r>
        <w:rPr>
          <w:rFonts w:hint="eastAsia" w:ascii="仿宋_GB2312" w:hAnsi="仿宋_GB2312" w:eastAsia="仿宋_GB2312" w:cs="仿宋_GB2312"/>
          <w:kern w:val="2"/>
          <w:sz w:val="32"/>
          <w:szCs w:val="30"/>
          <w:lang w:val="en-US" w:eastAsia="zh-CN" w:bidi="ar-SA"/>
        </w:rPr>
        <w:t>2025年部门预算安排购置车辆0辆，安排购置单位价值200万元以上大型设备具体为：未安排购置单位价值200万元以上大型设备。</w:t>
      </w:r>
    </w:p>
    <w:p w14:paraId="455C3324">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rPr>
        <w:t>项目情况说明</w:t>
      </w:r>
    </w:p>
    <w:p w14:paraId="0F663B76">
      <w:pPr>
        <w:keepNext w:val="0"/>
        <w:keepLines w:val="0"/>
        <w:pageBreakBefore w:val="0"/>
        <w:widowControl w:val="0"/>
        <w:numPr>
          <w:numId w:val="0"/>
        </w:numPr>
        <w:kinsoku/>
        <w:wordWrap/>
        <w:overflowPunct/>
        <w:topLinePunct w:val="0"/>
        <w:autoSpaceDE/>
        <w:autoSpaceDN/>
        <w:bidi w:val="0"/>
        <w:adjustRightInd/>
        <w:snapToGrid/>
        <w:spacing w:line="600" w:lineRule="exact"/>
        <w:jc w:val="center"/>
        <w:textAlignment w:val="auto"/>
        <w:rPr>
          <w:rStyle w:val="11"/>
          <w:rFonts w:hint="default" w:ascii="楷体_GB2312" w:hAnsi="楷体_GB2312" w:eastAsia="仿宋" w:cs="楷体_GB2312"/>
          <w:b/>
          <w:bCs/>
          <w:sz w:val="32"/>
          <w:szCs w:val="32"/>
          <w:lang w:val="en-US" w:eastAsia="zh-CN"/>
        </w:rPr>
      </w:pPr>
      <w:r>
        <w:rPr>
          <w:rFonts w:hint="eastAsia" w:ascii="仿宋" w:hAnsi="仿宋" w:eastAsia="仿宋" w:cs="仿宋_GB2312"/>
          <w:b/>
          <w:bCs/>
          <w:sz w:val="32"/>
          <w:szCs w:val="40"/>
        </w:rPr>
        <w:t>老旧营运货车报废更新</w:t>
      </w:r>
      <w:r>
        <w:rPr>
          <w:rFonts w:hint="eastAsia" w:ascii="仿宋" w:hAnsi="仿宋" w:eastAsia="仿宋" w:cs="仿宋_GB2312"/>
          <w:b/>
          <w:bCs/>
          <w:sz w:val="32"/>
          <w:szCs w:val="40"/>
          <w:lang w:eastAsia="zh-CN"/>
        </w:rPr>
        <w:t>第二</w:t>
      </w:r>
      <w:r>
        <w:rPr>
          <w:rFonts w:hint="eastAsia" w:ascii="仿宋" w:hAnsi="仿宋" w:eastAsia="仿宋" w:cs="仿宋_GB2312"/>
          <w:b/>
          <w:bCs/>
          <w:sz w:val="32"/>
          <w:szCs w:val="40"/>
        </w:rPr>
        <w:t>次</w:t>
      </w:r>
      <w:r>
        <w:rPr>
          <w:rFonts w:hint="eastAsia" w:ascii="仿宋" w:hAnsi="仿宋" w:eastAsia="仿宋" w:cs="仿宋_GB2312"/>
          <w:b/>
          <w:bCs/>
          <w:sz w:val="32"/>
          <w:szCs w:val="40"/>
          <w:lang w:val="en-US" w:eastAsia="zh-CN"/>
        </w:rPr>
        <w:t>项目情况说明</w:t>
      </w:r>
    </w:p>
    <w:p w14:paraId="2D2D302E">
      <w:pPr>
        <w:numPr>
          <w:ilvl w:val="0"/>
          <w:numId w:val="2"/>
        </w:numPr>
        <w:jc w:val="left"/>
        <w:rPr>
          <w:rFonts w:ascii="仿宋" w:hAnsi="仿宋" w:eastAsia="仿宋" w:cs="仿宋_GB2312"/>
          <w:sz w:val="32"/>
          <w:szCs w:val="40"/>
        </w:rPr>
      </w:pPr>
      <w:r>
        <w:rPr>
          <w:rFonts w:hint="eastAsia" w:ascii="仿宋" w:hAnsi="仿宋" w:eastAsia="仿宋" w:cs="仿宋_GB2312"/>
          <w:sz w:val="32"/>
          <w:szCs w:val="40"/>
        </w:rPr>
        <w:t>项目概况。</w:t>
      </w:r>
      <w:bookmarkStart w:id="0" w:name="_GoBack"/>
      <w:bookmarkEnd w:id="0"/>
    </w:p>
    <w:p w14:paraId="7131895E">
      <w:pPr>
        <w:ind w:firstLine="640" w:firstLineChars="200"/>
        <w:jc w:val="left"/>
        <w:rPr>
          <w:rFonts w:ascii="仿宋" w:hAnsi="仿宋" w:eastAsia="仿宋" w:cs="仿宋_GB2312"/>
          <w:sz w:val="32"/>
          <w:szCs w:val="40"/>
        </w:rPr>
      </w:pPr>
      <w:r>
        <w:rPr>
          <w:rFonts w:hint="eastAsia" w:ascii="仿宋" w:hAnsi="仿宋" w:eastAsia="仿宋" w:cs="仿宋_GB2312"/>
          <w:sz w:val="32"/>
          <w:szCs w:val="40"/>
        </w:rPr>
        <w:t>老旧营运货车报废更新</w:t>
      </w:r>
      <w:r>
        <w:rPr>
          <w:rFonts w:hint="eastAsia" w:ascii="仿宋" w:hAnsi="仿宋" w:eastAsia="仿宋" w:cs="仿宋_GB2312"/>
          <w:sz w:val="32"/>
          <w:szCs w:val="40"/>
          <w:lang w:eastAsia="zh-CN"/>
        </w:rPr>
        <w:t>第二</w:t>
      </w:r>
      <w:r>
        <w:rPr>
          <w:rFonts w:hint="eastAsia" w:ascii="仿宋" w:hAnsi="仿宋" w:eastAsia="仿宋" w:cs="仿宋_GB2312"/>
          <w:sz w:val="32"/>
          <w:szCs w:val="40"/>
        </w:rPr>
        <w:t>次资金用于持续推进城市公交车电动化替代，支持老旧新能源公交车和动力电池更新换代。年初预算</w:t>
      </w:r>
      <w:r>
        <w:rPr>
          <w:rFonts w:hint="eastAsia" w:ascii="仿宋" w:hAnsi="仿宋" w:eastAsia="仿宋" w:cs="仿宋_GB2312"/>
          <w:sz w:val="32"/>
          <w:szCs w:val="40"/>
          <w:lang w:val="en-US" w:eastAsia="zh-CN"/>
        </w:rPr>
        <w:t>47.8</w:t>
      </w:r>
      <w:r>
        <w:rPr>
          <w:rFonts w:hint="eastAsia" w:ascii="仿宋" w:hAnsi="仿宋" w:eastAsia="仿宋" w:cs="仿宋_GB2312"/>
          <w:sz w:val="32"/>
          <w:szCs w:val="40"/>
        </w:rPr>
        <w:t>万元，实际到账</w:t>
      </w:r>
      <w:r>
        <w:rPr>
          <w:rFonts w:hint="eastAsia" w:ascii="仿宋" w:hAnsi="仿宋" w:eastAsia="仿宋" w:cs="仿宋_GB2312"/>
          <w:sz w:val="32"/>
          <w:szCs w:val="40"/>
          <w:lang w:val="en-US" w:eastAsia="zh-CN"/>
        </w:rPr>
        <w:t>47.8</w:t>
      </w:r>
      <w:r>
        <w:rPr>
          <w:rFonts w:hint="eastAsia" w:ascii="仿宋" w:hAnsi="仿宋" w:eastAsia="仿宋" w:cs="仿宋_GB2312"/>
          <w:sz w:val="32"/>
          <w:szCs w:val="40"/>
        </w:rPr>
        <w:t>万元，全年执行数</w:t>
      </w:r>
      <w:r>
        <w:rPr>
          <w:rFonts w:hint="eastAsia" w:ascii="仿宋" w:hAnsi="仿宋" w:eastAsia="仿宋" w:cs="仿宋_GB2312"/>
          <w:sz w:val="32"/>
          <w:szCs w:val="40"/>
          <w:lang w:val="en-US" w:eastAsia="zh-CN"/>
        </w:rPr>
        <w:t>43.3</w:t>
      </w:r>
      <w:r>
        <w:rPr>
          <w:rFonts w:hint="eastAsia" w:ascii="仿宋" w:hAnsi="仿宋" w:eastAsia="仿宋" w:cs="仿宋_GB2312"/>
          <w:sz w:val="32"/>
          <w:szCs w:val="40"/>
        </w:rPr>
        <w:t>万元，</w:t>
      </w:r>
      <w:r>
        <w:rPr>
          <w:rFonts w:hint="eastAsia" w:ascii="仿宋" w:hAnsi="仿宋" w:eastAsia="仿宋" w:cs="仿宋_GB2312"/>
          <w:sz w:val="32"/>
          <w:szCs w:val="40"/>
          <w:lang w:val="en-US" w:eastAsia="zh-CN"/>
        </w:rPr>
        <w:t>结余4.5万元，结转至2025年拨付，项目资金</w:t>
      </w:r>
      <w:r>
        <w:rPr>
          <w:rFonts w:hint="eastAsia" w:ascii="仿宋" w:hAnsi="仿宋" w:eastAsia="仿宋" w:cs="仿宋_GB2312"/>
          <w:sz w:val="32"/>
          <w:szCs w:val="40"/>
        </w:rPr>
        <w:t>全部用于该项目。</w:t>
      </w:r>
    </w:p>
    <w:p w14:paraId="24A61AA8">
      <w:pPr>
        <w:numPr>
          <w:ilvl w:val="0"/>
          <w:numId w:val="2"/>
        </w:numPr>
        <w:jc w:val="left"/>
        <w:rPr>
          <w:rFonts w:ascii="仿宋" w:hAnsi="仿宋" w:eastAsia="仿宋" w:cs="仿宋_GB2312"/>
          <w:sz w:val="32"/>
          <w:szCs w:val="40"/>
        </w:rPr>
      </w:pPr>
      <w:r>
        <w:rPr>
          <w:rFonts w:hint="eastAsia" w:ascii="仿宋" w:hAnsi="仿宋" w:eastAsia="仿宋" w:cs="仿宋_GB2312"/>
          <w:sz w:val="32"/>
          <w:szCs w:val="40"/>
          <w:lang w:val="en-US" w:eastAsia="zh-CN"/>
        </w:rPr>
        <w:t>立项依据</w:t>
      </w:r>
      <w:r>
        <w:rPr>
          <w:rFonts w:hint="eastAsia" w:ascii="仿宋" w:hAnsi="仿宋" w:eastAsia="仿宋" w:cs="仿宋_GB2312"/>
          <w:sz w:val="32"/>
          <w:szCs w:val="40"/>
        </w:rPr>
        <w:t>。</w:t>
      </w:r>
    </w:p>
    <w:p w14:paraId="7D1B453C">
      <w:p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rPr>
        <w:t>该项目依据《关于下达202</w:t>
      </w:r>
      <w:r>
        <w:rPr>
          <w:rFonts w:hint="eastAsia" w:ascii="仿宋" w:hAnsi="仿宋" w:eastAsia="仿宋" w:cs="仿宋_GB2312"/>
          <w:sz w:val="32"/>
          <w:szCs w:val="40"/>
          <w:lang w:val="en-US" w:eastAsia="zh-CN"/>
        </w:rPr>
        <w:t>4</w:t>
      </w:r>
      <w:r>
        <w:rPr>
          <w:rFonts w:hint="eastAsia" w:ascii="仿宋" w:hAnsi="仿宋" w:eastAsia="仿宋" w:cs="仿宋_GB2312"/>
          <w:sz w:val="32"/>
          <w:szCs w:val="40"/>
        </w:rPr>
        <w:t>年</w:t>
      </w:r>
      <w:r>
        <w:rPr>
          <w:rFonts w:hint="eastAsia" w:ascii="仿宋" w:hAnsi="仿宋" w:eastAsia="仿宋" w:cs="仿宋_GB2312"/>
          <w:sz w:val="32"/>
          <w:szCs w:val="40"/>
          <w:lang w:val="en-US" w:eastAsia="zh-CN"/>
        </w:rPr>
        <w:t>第四批超长期特别国债及省级配套资金支持地方消费品以旧换新（国三及以下老旧营运货车报废更新方向）支出预算</w:t>
      </w:r>
      <w:r>
        <w:rPr>
          <w:rFonts w:hint="eastAsia" w:ascii="仿宋" w:hAnsi="仿宋" w:eastAsia="仿宋" w:cs="仿宋_GB2312"/>
          <w:sz w:val="32"/>
          <w:szCs w:val="40"/>
        </w:rPr>
        <w:t>的通知》</w:t>
      </w:r>
      <w:r>
        <w:rPr>
          <w:rFonts w:hint="eastAsia" w:ascii="仿宋" w:hAnsi="仿宋" w:eastAsia="仿宋" w:cs="仿宋_GB2312"/>
          <w:sz w:val="32"/>
          <w:szCs w:val="40"/>
          <w:lang w:val="en-US" w:eastAsia="zh-CN"/>
        </w:rPr>
        <w:t>景</w:t>
      </w:r>
      <w:r>
        <w:rPr>
          <w:rFonts w:hint="eastAsia" w:ascii="仿宋" w:hAnsi="仿宋" w:eastAsia="仿宋" w:cs="仿宋_GB2312"/>
          <w:sz w:val="32"/>
          <w:szCs w:val="40"/>
        </w:rPr>
        <w:t>财建指〔</w:t>
      </w:r>
      <w:r>
        <w:rPr>
          <w:rFonts w:hint="eastAsia" w:ascii="仿宋" w:hAnsi="仿宋" w:eastAsia="仿宋" w:cs="仿宋_GB2312"/>
          <w:sz w:val="32"/>
          <w:szCs w:val="40"/>
          <w:lang w:val="en-US" w:eastAsia="zh-CN"/>
        </w:rPr>
        <w:t>2024</w:t>
      </w:r>
      <w:r>
        <w:rPr>
          <w:rFonts w:hint="eastAsia" w:ascii="仿宋" w:hAnsi="仿宋" w:eastAsia="仿宋" w:cs="仿宋_GB2312"/>
          <w:sz w:val="32"/>
          <w:szCs w:val="40"/>
        </w:rPr>
        <w:t>〕</w:t>
      </w:r>
      <w:r>
        <w:rPr>
          <w:rFonts w:hint="eastAsia" w:ascii="仿宋" w:hAnsi="仿宋" w:eastAsia="仿宋" w:cs="仿宋_GB2312"/>
          <w:sz w:val="32"/>
          <w:szCs w:val="40"/>
          <w:lang w:val="en-US" w:eastAsia="zh-CN"/>
        </w:rPr>
        <w:t>53</w:t>
      </w:r>
      <w:r>
        <w:rPr>
          <w:rFonts w:hint="eastAsia" w:ascii="仿宋" w:hAnsi="仿宋" w:eastAsia="仿宋" w:cs="仿宋_GB2312"/>
          <w:sz w:val="32"/>
          <w:szCs w:val="40"/>
        </w:rPr>
        <w:t>号，</w:t>
      </w:r>
      <w:r>
        <w:rPr>
          <w:rFonts w:hint="eastAsia" w:ascii="仿宋" w:hAnsi="仿宋" w:eastAsia="仿宋" w:cs="仿宋_GB2312"/>
          <w:sz w:val="32"/>
          <w:szCs w:val="40"/>
          <w:lang w:val="en-US" w:eastAsia="zh-CN"/>
        </w:rPr>
        <w:t>资金投入</w:t>
      </w:r>
      <w:r>
        <w:rPr>
          <w:rFonts w:hint="eastAsia" w:ascii="仿宋" w:hAnsi="仿宋" w:eastAsia="仿宋" w:cs="仿宋_GB2312"/>
          <w:sz w:val="32"/>
          <w:szCs w:val="40"/>
        </w:rPr>
        <w:t>符合上述文件内容和要求。</w:t>
      </w:r>
    </w:p>
    <w:p w14:paraId="27E25A99">
      <w:pPr>
        <w:numPr>
          <w:ilvl w:val="0"/>
          <w:numId w:val="2"/>
        </w:numPr>
        <w:ind w:left="0" w:leftChars="0" w:firstLine="420" w:firstLineChars="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实施主体。</w:t>
      </w:r>
    </w:p>
    <w:p w14:paraId="0A7AA952">
      <w:pPr>
        <w:ind w:firstLine="640" w:firstLineChars="200"/>
        <w:jc w:val="left"/>
        <w:rPr>
          <w:rFonts w:hint="eastAsia" w:ascii="仿宋" w:hAnsi="仿宋" w:eastAsia="仿宋" w:cs="仿宋_GB2312"/>
          <w:sz w:val="32"/>
          <w:szCs w:val="40"/>
          <w:lang w:val="en-US" w:eastAsia="zh-CN"/>
        </w:rPr>
      </w:pPr>
      <w:r>
        <w:rPr>
          <w:rFonts w:hint="eastAsia" w:ascii="仿宋" w:hAnsi="仿宋" w:eastAsia="仿宋" w:cs="仿宋_GB2312"/>
          <w:sz w:val="32"/>
          <w:szCs w:val="40"/>
        </w:rPr>
        <w:t>该项目</w:t>
      </w:r>
      <w:r>
        <w:rPr>
          <w:rFonts w:hint="eastAsia" w:ascii="仿宋" w:hAnsi="仿宋" w:eastAsia="仿宋" w:cs="仿宋_GB2312"/>
          <w:sz w:val="32"/>
          <w:szCs w:val="40"/>
          <w:lang w:val="en-US" w:eastAsia="zh-CN"/>
        </w:rPr>
        <w:t>由市交通运输局拨付项目资金。</w:t>
      </w:r>
    </w:p>
    <w:p w14:paraId="1EE0C548">
      <w:pPr>
        <w:numPr>
          <w:ilvl w:val="0"/>
          <w:numId w:val="2"/>
        </w:numPr>
        <w:ind w:left="0" w:leftChars="0" w:firstLine="420" w:firstLineChars="0"/>
        <w:jc w:val="left"/>
        <w:rPr>
          <w:rFonts w:hint="eastAsia" w:ascii="仿宋" w:hAnsi="仿宋" w:eastAsia="仿宋" w:cs="仿宋_GB2312"/>
          <w:sz w:val="32"/>
          <w:szCs w:val="40"/>
          <w:lang w:val="en-US" w:eastAsia="zh-CN"/>
        </w:rPr>
      </w:pPr>
      <w:r>
        <w:rPr>
          <w:rFonts w:hint="eastAsia" w:ascii="仿宋" w:hAnsi="仿宋" w:eastAsia="仿宋" w:cs="仿宋_GB2312"/>
          <w:sz w:val="32"/>
          <w:szCs w:val="40"/>
          <w:lang w:val="en-US" w:eastAsia="zh-CN"/>
        </w:rPr>
        <w:t>年度预算安排。</w:t>
      </w:r>
    </w:p>
    <w:p w14:paraId="091BC7A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 w:hAnsi="仿宋" w:eastAsia="仿宋" w:cs="仿宋_GB2312"/>
          <w:sz w:val="32"/>
          <w:szCs w:val="40"/>
        </w:rPr>
        <w:t>该项目</w:t>
      </w:r>
      <w:r>
        <w:rPr>
          <w:rFonts w:hint="eastAsia" w:ascii="仿宋" w:hAnsi="仿宋" w:eastAsia="仿宋" w:cs="仿宋_GB2312"/>
          <w:sz w:val="32"/>
          <w:szCs w:val="40"/>
          <w:lang w:val="en-US" w:eastAsia="zh-CN"/>
        </w:rPr>
        <w:t>2024年</w:t>
      </w:r>
      <w:r>
        <w:rPr>
          <w:rFonts w:hint="eastAsia" w:ascii="仿宋" w:hAnsi="仿宋" w:eastAsia="仿宋" w:cs="仿宋_GB2312"/>
          <w:sz w:val="32"/>
          <w:szCs w:val="40"/>
        </w:rPr>
        <w:t>年初预算</w:t>
      </w:r>
      <w:r>
        <w:rPr>
          <w:rFonts w:hint="eastAsia" w:ascii="仿宋" w:hAnsi="仿宋" w:eastAsia="仿宋" w:cs="仿宋_GB2312"/>
          <w:sz w:val="32"/>
          <w:szCs w:val="40"/>
          <w:lang w:val="en-US" w:eastAsia="zh-CN"/>
        </w:rPr>
        <w:t>47.8</w:t>
      </w:r>
      <w:r>
        <w:rPr>
          <w:rFonts w:hint="eastAsia" w:ascii="仿宋" w:hAnsi="仿宋" w:eastAsia="仿宋" w:cs="仿宋_GB2312"/>
          <w:sz w:val="32"/>
          <w:szCs w:val="40"/>
        </w:rPr>
        <w:t>万元，实际</w:t>
      </w:r>
      <w:r>
        <w:rPr>
          <w:rFonts w:hint="eastAsia" w:ascii="仿宋" w:hAnsi="仿宋" w:eastAsia="仿宋" w:cs="仿宋_GB2312"/>
          <w:sz w:val="32"/>
          <w:szCs w:val="40"/>
          <w:lang w:val="en-US" w:eastAsia="zh-CN"/>
        </w:rPr>
        <w:t>2024年</w:t>
      </w:r>
      <w:r>
        <w:rPr>
          <w:rFonts w:hint="eastAsia" w:ascii="仿宋" w:hAnsi="仿宋" w:eastAsia="仿宋" w:cs="仿宋_GB2312"/>
          <w:sz w:val="32"/>
          <w:szCs w:val="40"/>
        </w:rPr>
        <w:t>到账</w:t>
      </w:r>
      <w:r>
        <w:rPr>
          <w:rFonts w:hint="eastAsia" w:ascii="仿宋" w:hAnsi="仿宋" w:eastAsia="仿宋" w:cs="仿宋_GB2312"/>
          <w:sz w:val="32"/>
          <w:szCs w:val="40"/>
          <w:lang w:val="en-US" w:eastAsia="zh-CN"/>
        </w:rPr>
        <w:t>47.8</w:t>
      </w:r>
      <w:r>
        <w:rPr>
          <w:rFonts w:hint="eastAsia" w:ascii="仿宋" w:hAnsi="仿宋" w:eastAsia="仿宋" w:cs="仿宋_GB2312"/>
          <w:sz w:val="32"/>
          <w:szCs w:val="40"/>
        </w:rPr>
        <w:t>万元，</w:t>
      </w:r>
      <w:r>
        <w:rPr>
          <w:rFonts w:hint="eastAsia" w:ascii="仿宋" w:hAnsi="仿宋" w:eastAsia="仿宋" w:cs="仿宋_GB2312"/>
          <w:sz w:val="32"/>
          <w:szCs w:val="40"/>
          <w:lang w:val="en-US" w:eastAsia="zh-CN"/>
        </w:rPr>
        <w:t>2024</w:t>
      </w:r>
      <w:r>
        <w:rPr>
          <w:rFonts w:hint="eastAsia" w:ascii="仿宋" w:hAnsi="仿宋" w:eastAsia="仿宋" w:cs="仿宋_GB2312"/>
          <w:sz w:val="32"/>
          <w:szCs w:val="40"/>
        </w:rPr>
        <w:t>年执行数</w:t>
      </w:r>
      <w:r>
        <w:rPr>
          <w:rFonts w:hint="eastAsia" w:ascii="仿宋" w:hAnsi="仿宋" w:eastAsia="仿宋" w:cs="仿宋_GB2312"/>
          <w:sz w:val="32"/>
          <w:szCs w:val="40"/>
          <w:lang w:val="en-US" w:eastAsia="zh-CN"/>
        </w:rPr>
        <w:t>43.3</w:t>
      </w:r>
      <w:r>
        <w:rPr>
          <w:rFonts w:hint="eastAsia" w:ascii="仿宋" w:hAnsi="仿宋" w:eastAsia="仿宋" w:cs="仿宋_GB2312"/>
          <w:sz w:val="32"/>
          <w:szCs w:val="40"/>
        </w:rPr>
        <w:t>万元，</w:t>
      </w:r>
      <w:r>
        <w:rPr>
          <w:rFonts w:hint="eastAsia" w:ascii="仿宋" w:hAnsi="仿宋" w:eastAsia="仿宋" w:cs="仿宋_GB2312"/>
          <w:sz w:val="32"/>
          <w:szCs w:val="40"/>
          <w:lang w:val="en-US" w:eastAsia="zh-CN"/>
        </w:rPr>
        <w:t>结余4.5万元，结转至2025年，由市交通运输局继续拨付。</w:t>
      </w:r>
    </w:p>
    <w:p w14:paraId="5EA2B8EF">
      <w:pPr>
        <w:keepNext w:val="0"/>
        <w:keepLines w:val="0"/>
        <w:pageBreakBefore w:val="0"/>
        <w:kinsoku/>
        <w:wordWrap/>
        <w:overflowPunct/>
        <w:topLinePunct w:val="0"/>
        <w:autoSpaceDE/>
        <w:autoSpaceDN/>
        <w:bidi w:val="0"/>
        <w:adjustRightInd/>
        <w:snapToGrid/>
        <w:spacing w:line="600" w:lineRule="exact"/>
        <w:ind w:firstLine="642"/>
        <w:jc w:val="both"/>
        <w:textAlignment w:val="auto"/>
        <w:rPr>
          <w:rFonts w:ascii="Adobe 仿宋 Std R" w:hAnsi="Adobe 仿宋 Std R" w:eastAsia="Adobe 仿宋 Std R"/>
          <w:sz w:val="32"/>
          <w:szCs w:val="32"/>
        </w:rPr>
      </w:pPr>
    </w:p>
    <w:p w14:paraId="7516F99A">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楷体_GB2312" w:eastAsia="楷体_GB2312"/>
          <w:b/>
          <w:sz w:val="32"/>
          <w:szCs w:val="30"/>
        </w:rPr>
      </w:pPr>
      <w:r>
        <w:rPr>
          <w:rFonts w:hint="eastAsia" w:ascii="黑体" w:hAnsi="黑体" w:eastAsia="黑体" w:cs="黑体"/>
          <w:b/>
          <w:sz w:val="32"/>
          <w:szCs w:val="32"/>
        </w:rPr>
        <w:t>二、</w:t>
      </w:r>
      <w:r>
        <w:rPr>
          <w:rFonts w:hint="eastAsia" w:ascii="黑体" w:hAnsi="黑体" w:eastAsia="黑体" w:cs="黑体"/>
          <w:b/>
          <w:sz w:val="32"/>
          <w:szCs w:val="32"/>
          <w:lang w:eastAsia="zh-CN"/>
        </w:rPr>
        <w:t>2025</w:t>
      </w:r>
      <w:r>
        <w:rPr>
          <w:rFonts w:hint="eastAsia" w:ascii="黑体" w:hAnsi="黑体" w:eastAsia="黑体" w:cs="黑体"/>
          <w:b/>
          <w:sz w:val="32"/>
          <w:szCs w:val="32"/>
        </w:rPr>
        <w:t>年</w:t>
      </w:r>
      <w:r>
        <w:rPr>
          <w:rFonts w:hint="eastAsia" w:ascii="黑体" w:hAnsi="黑体" w:eastAsia="黑体" w:cs="黑体"/>
          <w:b/>
          <w:sz w:val="32"/>
          <w:szCs w:val="32"/>
          <w:lang w:eastAsia="zh-CN"/>
        </w:rPr>
        <w:t>“</w:t>
      </w:r>
      <w:r>
        <w:rPr>
          <w:rFonts w:hint="eastAsia" w:ascii="黑体" w:hAnsi="黑体" w:eastAsia="黑体" w:cs="黑体"/>
          <w:b/>
          <w:sz w:val="32"/>
          <w:szCs w:val="32"/>
        </w:rPr>
        <w:t>三公</w:t>
      </w:r>
      <w:r>
        <w:rPr>
          <w:rFonts w:hint="eastAsia" w:ascii="黑体" w:hAnsi="黑体" w:eastAsia="黑体" w:cs="黑体"/>
          <w:b/>
          <w:sz w:val="32"/>
          <w:szCs w:val="32"/>
          <w:lang w:eastAsia="zh-CN"/>
        </w:rPr>
        <w:t>”</w:t>
      </w:r>
      <w:r>
        <w:rPr>
          <w:rFonts w:hint="eastAsia" w:ascii="黑体" w:hAnsi="黑体" w:eastAsia="黑体" w:cs="黑体"/>
          <w:b/>
          <w:sz w:val="32"/>
          <w:szCs w:val="32"/>
        </w:rPr>
        <w:t>经费预算情况说明</w:t>
      </w:r>
    </w:p>
    <w:p w14:paraId="7493A02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w:t>
      </w:r>
      <w:r>
        <w:rPr>
          <w:rFonts w:hint="eastAsia" w:ascii="仿宋_GB2312" w:hAnsi="仿宋_GB2312" w:eastAsia="仿宋_GB2312" w:cs="仿宋_GB2312"/>
          <w:kern w:val="2"/>
          <w:sz w:val="32"/>
          <w:szCs w:val="30"/>
          <w:lang w:val="en-US" w:eastAsia="zh-CN" w:bidi="ar-SA"/>
        </w:rPr>
        <w:fldChar w:fldCharType="begin"/>
      </w:r>
      <w:r>
        <w:rPr>
          <w:rFonts w:hint="eastAsia" w:ascii="仿宋_GB2312" w:hAnsi="仿宋_GB2312" w:eastAsia="仿宋_GB2312" w:cs="仿宋_GB2312"/>
          <w:kern w:val="2"/>
          <w:sz w:val="32"/>
          <w:szCs w:val="30"/>
          <w:lang w:val="en-US" w:eastAsia="zh-CN" w:bidi="ar-SA"/>
        </w:rPr>
        <w:instrText xml:space="preserve">MERGEFIELD ${page400644146.ds215660413_REP_JXJC_AGENCY_WZR_NAME}</w:instrText>
      </w:r>
      <w:r>
        <w:rPr>
          <w:rFonts w:hint="eastAsia" w:ascii="仿宋_GB2312" w:hAnsi="仿宋_GB2312" w:eastAsia="仿宋_GB2312" w:cs="仿宋_GB2312"/>
          <w:kern w:val="2"/>
          <w:sz w:val="32"/>
          <w:szCs w:val="30"/>
          <w:lang w:val="en-US" w:eastAsia="zh-CN" w:bidi="ar-SA"/>
        </w:rPr>
        <w:fldChar w:fldCharType="separate"/>
      </w:r>
      <w:r>
        <w:rPr>
          <w:rFonts w:hint="eastAsia" w:ascii="仿宋_GB2312" w:hAnsi="仿宋_GB2312" w:eastAsia="仿宋_GB2312" w:cs="仿宋_GB2312"/>
          <w:kern w:val="2"/>
          <w:sz w:val="32"/>
          <w:szCs w:val="30"/>
          <w:lang w:val="en-US" w:eastAsia="zh-CN" w:bidi="ar-SA"/>
        </w:rPr>
        <w:t>景德镇市交通运输局</w:t>
      </w:r>
      <w:r>
        <w:rPr>
          <w:rFonts w:hint="eastAsia" w:ascii="仿宋_GB2312" w:hAnsi="仿宋_GB2312" w:eastAsia="仿宋_GB2312" w:cs="仿宋_GB2312"/>
          <w:kern w:val="2"/>
          <w:sz w:val="32"/>
          <w:szCs w:val="30"/>
          <w:lang w:val="en-US" w:eastAsia="zh-CN" w:bidi="ar-SA"/>
        </w:rPr>
        <w:fldChar w:fldCharType="end"/>
      </w:r>
      <w:r>
        <w:rPr>
          <w:rFonts w:hint="eastAsia" w:ascii="仿宋_GB2312" w:hAnsi="仿宋_GB2312" w:eastAsia="仿宋_GB2312" w:cs="仿宋_GB2312"/>
          <w:kern w:val="2"/>
          <w:sz w:val="32"/>
          <w:szCs w:val="30"/>
          <w:lang w:val="en-US" w:eastAsia="zh-CN" w:bidi="ar-SA"/>
        </w:rPr>
        <w:t>“三公”经费财政拨款安排28.82万元，其中：</w:t>
      </w:r>
    </w:p>
    <w:p w14:paraId="7CAACB9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因公出国（境）费0.00万元，比上年增加0.00万元，主要原因是：</w:t>
      </w:r>
      <w:r>
        <w:rPr>
          <w:rFonts w:hint="eastAsia" w:ascii="仿宋_GB2312" w:hAnsi="仿宋" w:eastAsia="仿宋_GB2312" w:cs="Times New Roman"/>
          <w:kern w:val="2"/>
          <w:sz w:val="32"/>
          <w:szCs w:val="32"/>
          <w:lang w:val="en-US" w:eastAsia="zh-CN"/>
        </w:rPr>
        <w:t>与上年安排保持一致。</w:t>
      </w:r>
    </w:p>
    <w:p w14:paraId="164F626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公务接待费8.10万元，比上年增加0.10万元，主要原因是：公务接待有所增加。</w:t>
      </w:r>
    </w:p>
    <w:p w14:paraId="4A13AB9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公务用车运行维护费20.72万元，比上年减少12.95万元，主要原因是：处置报废了公务用车。</w:t>
      </w:r>
    </w:p>
    <w:p w14:paraId="1784987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公务用车购置费0.00万元，比上年增加0.00万元，主要原因是：</w:t>
      </w:r>
      <w:r>
        <w:rPr>
          <w:rFonts w:hint="eastAsia" w:ascii="仿宋_GB2312" w:hAnsi="仿宋" w:eastAsia="仿宋_GB2312" w:cs="Times New Roman"/>
          <w:kern w:val="2"/>
          <w:sz w:val="32"/>
          <w:szCs w:val="32"/>
          <w:lang w:val="en-US" w:eastAsia="zh-CN"/>
        </w:rPr>
        <w:t>与上年安排保持一致。</w:t>
      </w:r>
    </w:p>
    <w:p w14:paraId="7639A026">
      <w:pPr>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br w:type="page"/>
      </w:r>
    </w:p>
    <w:p w14:paraId="324614D0">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r>
        <w:rPr>
          <w:rFonts w:hint="eastAsia" w:ascii="方正小标宋简体" w:hAnsi="方正小标宋简体" w:eastAsia="方正小标宋简体" w:cs="方正小标宋简体"/>
          <w:b/>
          <w:sz w:val="32"/>
          <w:szCs w:val="30"/>
        </w:rPr>
        <w:t>第四部分   名词解释</w:t>
      </w:r>
    </w:p>
    <w:p w14:paraId="6D80C422">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both"/>
        <w:textAlignment w:val="auto"/>
        <w:rPr>
          <w:rFonts w:hint="eastAsia" w:ascii="方正小标宋简体" w:hAnsi="方正小标宋简体" w:eastAsia="方正小标宋简体" w:cs="方正小标宋简体"/>
          <w:b/>
          <w:sz w:val="32"/>
          <w:szCs w:val="30"/>
        </w:rPr>
      </w:pPr>
    </w:p>
    <w:p w14:paraId="0011541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一、收入科目</w:t>
      </w:r>
    </w:p>
    <w:p w14:paraId="7A676826">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0"/>
        <w:jc w:val="both"/>
        <w:textAlignment w:val="auto"/>
        <w:rPr>
          <w:rFonts w:ascii="仿宋_GB2312" w:hAnsi="Times New Roman" w:eastAsia="仿宋_GB2312" w:cs="Times New Roman"/>
          <w:color w:val="000000"/>
          <w:sz w:val="32"/>
          <w:szCs w:val="30"/>
        </w:rPr>
      </w:pPr>
      <w:r>
        <w:rPr>
          <w:rStyle w:val="11"/>
          <w:rFonts w:hint="eastAsia" w:ascii="楷体_GB2312" w:hAnsi="楷体_GB2312" w:eastAsia="楷体_GB2312" w:cs="楷体_GB2312"/>
          <w:b/>
          <w:bCs w:val="0"/>
          <w:sz w:val="32"/>
          <w:szCs w:val="32"/>
          <w:lang w:val="en-US" w:eastAsia="zh-CN"/>
        </w:rPr>
        <w:t>（一）</w:t>
      </w:r>
      <w:r>
        <w:rPr>
          <w:rStyle w:val="11"/>
          <w:rFonts w:hint="eastAsia" w:ascii="楷体_GB2312" w:hAnsi="楷体_GB2312" w:eastAsia="楷体_GB2312" w:cs="楷体_GB2312"/>
          <w:b/>
          <w:bCs w:val="0"/>
          <w:sz w:val="32"/>
          <w:szCs w:val="32"/>
        </w:rPr>
        <w:t>财政拨款：</w:t>
      </w:r>
      <w:r>
        <w:rPr>
          <w:rFonts w:hint="eastAsia" w:ascii="仿宋_GB2312" w:hAnsi="仿宋_GB2312" w:eastAsia="仿宋_GB2312" w:cs="仿宋_GB2312"/>
          <w:kern w:val="2"/>
          <w:sz w:val="32"/>
          <w:szCs w:val="30"/>
          <w:lang w:val="en-US" w:eastAsia="zh-CN" w:bidi="ar-SA"/>
        </w:rPr>
        <w:t>指市级财政当年拨付的资金。</w:t>
      </w:r>
    </w:p>
    <w:p w14:paraId="53332CF8">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w:t>
      </w:r>
      <w:r>
        <w:rPr>
          <w:rStyle w:val="11"/>
          <w:rFonts w:hint="eastAsia" w:ascii="楷体_GB2312" w:hAnsi="楷体_GB2312" w:eastAsia="楷体_GB2312" w:cs="楷体_GB2312"/>
          <w:b/>
          <w:bCs w:val="0"/>
          <w:sz w:val="32"/>
          <w:szCs w:val="32"/>
          <w:lang w:val="en-US" w:eastAsia="zh-CN"/>
        </w:rPr>
        <w:t>二</w:t>
      </w:r>
      <w:r>
        <w:rPr>
          <w:rStyle w:val="11"/>
          <w:rFonts w:hint="eastAsia" w:ascii="楷体_GB2312" w:hAnsi="楷体_GB2312" w:eastAsia="楷体_GB2312" w:cs="楷体_GB2312"/>
          <w:b/>
          <w:bCs w:val="0"/>
          <w:sz w:val="32"/>
          <w:szCs w:val="32"/>
        </w:rPr>
        <w:t>）事业收入：</w:t>
      </w:r>
      <w:r>
        <w:rPr>
          <w:rFonts w:hint="eastAsia" w:ascii="仿宋_GB2312" w:hAnsi="仿宋_GB2312" w:eastAsia="仿宋_GB2312" w:cs="仿宋_GB2312"/>
          <w:kern w:val="2"/>
          <w:sz w:val="32"/>
          <w:szCs w:val="30"/>
          <w:lang w:val="en-US" w:eastAsia="zh-CN" w:bidi="ar-SA"/>
        </w:rPr>
        <w:t>指事业单位开展专业业务活动及辅助活动取得的收入。</w:t>
      </w:r>
    </w:p>
    <w:p w14:paraId="1F4548A3">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ascii="仿宋_GB2312" w:eastAsia="仿宋_GB2312"/>
          <w:color w:val="000000"/>
          <w:sz w:val="32"/>
          <w:szCs w:val="30"/>
        </w:rPr>
      </w:pPr>
      <w:r>
        <w:rPr>
          <w:rStyle w:val="11"/>
          <w:rFonts w:hint="eastAsia" w:ascii="楷体_GB2312" w:hAnsi="楷体_GB2312" w:eastAsia="楷体_GB2312" w:cs="楷体_GB2312"/>
          <w:b/>
          <w:bCs w:val="0"/>
          <w:sz w:val="32"/>
          <w:szCs w:val="32"/>
        </w:rPr>
        <w:t>（</w:t>
      </w:r>
      <w:r>
        <w:rPr>
          <w:rStyle w:val="11"/>
          <w:rFonts w:hint="eastAsia" w:ascii="楷体_GB2312" w:hAnsi="楷体_GB2312" w:eastAsia="楷体_GB2312" w:cs="楷体_GB2312"/>
          <w:b/>
          <w:bCs w:val="0"/>
          <w:sz w:val="32"/>
          <w:szCs w:val="32"/>
          <w:lang w:val="en-US" w:eastAsia="zh-CN"/>
        </w:rPr>
        <w:t>三</w:t>
      </w:r>
      <w:r>
        <w:rPr>
          <w:rStyle w:val="11"/>
          <w:rFonts w:hint="eastAsia" w:ascii="楷体_GB2312" w:hAnsi="楷体_GB2312" w:eastAsia="楷体_GB2312" w:cs="楷体_GB2312"/>
          <w:b/>
          <w:bCs w:val="0"/>
          <w:sz w:val="32"/>
          <w:szCs w:val="32"/>
        </w:rPr>
        <w:t>）事业单位经营收入：</w:t>
      </w:r>
      <w:r>
        <w:rPr>
          <w:rFonts w:hint="eastAsia" w:ascii="仿宋_GB2312" w:hAnsi="仿宋_GB2312" w:eastAsia="仿宋_GB2312" w:cs="仿宋_GB2312"/>
          <w:kern w:val="2"/>
          <w:sz w:val="32"/>
          <w:szCs w:val="30"/>
          <w:lang w:val="en-US" w:eastAsia="zh-CN" w:bidi="ar-SA"/>
        </w:rPr>
        <w:t>指事业单位在专业业务活动及辅助活动之外开展非独立核算经营活动取得的收入。</w:t>
      </w:r>
    </w:p>
    <w:p w14:paraId="631D7859">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w:t>
      </w:r>
      <w:r>
        <w:rPr>
          <w:rStyle w:val="11"/>
          <w:rFonts w:hint="eastAsia" w:ascii="楷体_GB2312" w:hAnsi="楷体_GB2312" w:eastAsia="楷体_GB2312" w:cs="楷体_GB2312"/>
          <w:b/>
          <w:bCs w:val="0"/>
          <w:sz w:val="32"/>
          <w:szCs w:val="32"/>
          <w:lang w:val="en-US" w:eastAsia="zh-CN"/>
        </w:rPr>
        <w:t>四</w:t>
      </w:r>
      <w:r>
        <w:rPr>
          <w:rStyle w:val="11"/>
          <w:rFonts w:hint="eastAsia" w:ascii="楷体_GB2312" w:hAnsi="楷体_GB2312" w:eastAsia="楷体_GB2312" w:cs="楷体_GB2312"/>
          <w:b/>
          <w:bCs w:val="0"/>
          <w:sz w:val="32"/>
          <w:szCs w:val="32"/>
        </w:rPr>
        <w:t>）其他收入：</w:t>
      </w:r>
      <w:r>
        <w:rPr>
          <w:rFonts w:hint="eastAsia" w:ascii="仿宋_GB2312" w:hAnsi="仿宋_GB2312" w:eastAsia="仿宋_GB2312" w:cs="仿宋_GB2312"/>
          <w:kern w:val="2"/>
          <w:sz w:val="32"/>
          <w:szCs w:val="30"/>
          <w:lang w:val="en-US" w:eastAsia="zh-CN" w:bidi="ar-SA"/>
        </w:rPr>
        <w:t>指除财政拨款、事业收入、事业单位经营收入等以外的各项收入。</w:t>
      </w:r>
    </w:p>
    <w:p w14:paraId="62D5CC8D">
      <w:pPr>
        <w:pStyle w:val="4"/>
        <w:spacing w:line="600" w:lineRule="exact"/>
        <w:ind w:firstLine="645"/>
        <w:jc w:val="both"/>
        <w:rPr>
          <w:rFonts w:hint="eastAsia" w:ascii="仿宋_GB2312" w:hAnsi="仿宋" w:eastAsia="仿宋_GB2312" w:cs="Times New Roman"/>
          <w:kern w:val="2"/>
          <w:sz w:val="32"/>
          <w:szCs w:val="32"/>
        </w:rPr>
      </w:pPr>
      <w:r>
        <w:rPr>
          <w:rStyle w:val="11"/>
          <w:rFonts w:hint="eastAsia" w:ascii="楷体_GB2312" w:hAnsi="楷体_GB2312" w:eastAsia="楷体_GB2312" w:cs="楷体_GB2312"/>
          <w:b/>
          <w:bCs w:val="0"/>
          <w:kern w:val="2"/>
          <w:sz w:val="32"/>
          <w:szCs w:val="32"/>
          <w:lang w:val="en-US" w:eastAsia="zh-CN" w:bidi="ar-SA"/>
        </w:rPr>
        <w:t>（五）附属单位上缴收入：</w:t>
      </w:r>
      <w:r>
        <w:rPr>
          <w:rFonts w:hint="eastAsia" w:ascii="仿宋_GB2312" w:hAnsi="仿宋" w:eastAsia="仿宋_GB2312" w:cs="Times New Roman"/>
          <w:kern w:val="2"/>
          <w:sz w:val="32"/>
          <w:szCs w:val="32"/>
        </w:rPr>
        <w:t>反映事业单位附属的独立核算单位按规定标准或比例缴纳的各项收入。包括附属的事业单位上缴的收入和附属的企业上缴的利润等。</w:t>
      </w:r>
    </w:p>
    <w:p w14:paraId="35125F4B">
      <w:pPr>
        <w:pStyle w:val="4"/>
        <w:spacing w:line="600" w:lineRule="exact"/>
        <w:ind w:firstLine="645"/>
        <w:jc w:val="both"/>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kern w:val="2"/>
          <w:sz w:val="32"/>
          <w:szCs w:val="32"/>
          <w:lang w:val="en-US" w:eastAsia="zh-CN" w:bidi="ar-SA"/>
        </w:rPr>
        <w:t>（六）上级补助收入：</w:t>
      </w:r>
      <w:r>
        <w:rPr>
          <w:rFonts w:hint="eastAsia" w:ascii="仿宋_GB2312" w:hAnsi="仿宋" w:eastAsia="仿宋_GB2312" w:cs="Times New Roman"/>
          <w:kern w:val="2"/>
          <w:sz w:val="32"/>
          <w:szCs w:val="32"/>
        </w:rPr>
        <w:t>反映事业单位从主管部门和上级单位取得的非财政补助收入。</w:t>
      </w:r>
    </w:p>
    <w:p w14:paraId="32331A44">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w:t>
      </w:r>
      <w:r>
        <w:rPr>
          <w:rStyle w:val="11"/>
          <w:rFonts w:hint="eastAsia" w:ascii="楷体_GB2312" w:hAnsi="楷体_GB2312" w:eastAsia="楷体_GB2312" w:cs="楷体_GB2312"/>
          <w:b/>
          <w:bCs w:val="0"/>
          <w:sz w:val="32"/>
          <w:szCs w:val="32"/>
          <w:lang w:val="en-US" w:eastAsia="zh-CN"/>
        </w:rPr>
        <w:t>七</w:t>
      </w:r>
      <w:r>
        <w:rPr>
          <w:rStyle w:val="11"/>
          <w:rFonts w:hint="eastAsia" w:ascii="楷体_GB2312" w:hAnsi="楷体_GB2312" w:eastAsia="楷体_GB2312" w:cs="楷体_GB2312"/>
          <w:b/>
          <w:bCs w:val="0"/>
          <w:sz w:val="32"/>
          <w:szCs w:val="32"/>
        </w:rPr>
        <w:t>）使用非财政拨款结余：</w:t>
      </w:r>
      <w:r>
        <w:rPr>
          <w:rFonts w:hint="eastAsia" w:ascii="仿宋_GB2312" w:hAnsi="仿宋_GB2312" w:eastAsia="仿宋_GB2312" w:cs="仿宋_GB2312"/>
          <w:kern w:val="2"/>
          <w:sz w:val="32"/>
          <w:szCs w:val="30"/>
          <w:lang w:val="en-US" w:eastAsia="zh-CN" w:bidi="ar-SA"/>
        </w:rPr>
        <w:t>填列历年滚存的非限定用途的非统计财政拨款结余弥补2025年收支差额的数额。</w:t>
      </w:r>
    </w:p>
    <w:p w14:paraId="6157FF07">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w:t>
      </w:r>
      <w:r>
        <w:rPr>
          <w:rStyle w:val="11"/>
          <w:rFonts w:hint="eastAsia" w:ascii="楷体_GB2312" w:hAnsi="楷体_GB2312" w:eastAsia="楷体_GB2312" w:cs="楷体_GB2312"/>
          <w:b/>
          <w:bCs w:val="0"/>
          <w:sz w:val="32"/>
          <w:szCs w:val="32"/>
          <w:lang w:val="en-US" w:eastAsia="zh-CN"/>
        </w:rPr>
        <w:t>八</w:t>
      </w:r>
      <w:r>
        <w:rPr>
          <w:rStyle w:val="11"/>
          <w:rFonts w:hint="eastAsia" w:ascii="楷体_GB2312" w:hAnsi="楷体_GB2312" w:eastAsia="楷体_GB2312" w:cs="楷体_GB2312"/>
          <w:b/>
          <w:bCs w:val="0"/>
          <w:sz w:val="32"/>
          <w:szCs w:val="32"/>
        </w:rPr>
        <w:t>）上年结转和结余：</w:t>
      </w:r>
      <w:r>
        <w:rPr>
          <w:rFonts w:hint="eastAsia" w:ascii="仿宋_GB2312" w:hAnsi="仿宋_GB2312" w:eastAsia="仿宋_GB2312" w:cs="仿宋_GB2312"/>
          <w:kern w:val="2"/>
          <w:sz w:val="32"/>
          <w:szCs w:val="30"/>
          <w:lang w:val="en-US" w:eastAsia="zh-CN" w:bidi="ar-SA"/>
        </w:rPr>
        <w:t>填列2024年全部结转和结余的资金数，包括当年结转结余资金和历年滚存结转结余资金。</w:t>
      </w:r>
    </w:p>
    <w:p w14:paraId="4238090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1085B13">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二、支出科目</w:t>
      </w:r>
    </w:p>
    <w:p w14:paraId="50F41954">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rPr>
      </w:pPr>
      <w:r>
        <w:rPr>
          <w:rFonts w:hint="eastAsia" w:ascii="仿宋_GB2312" w:eastAsia="仿宋_GB2312"/>
          <w:b/>
          <w:bCs/>
          <w:color w:val="000000"/>
          <w:sz w:val="32"/>
          <w:szCs w:val="30"/>
        </w:rPr>
        <w:t>（</w:t>
      </w:r>
      <w:r>
        <w:rPr>
          <w:rFonts w:hint="eastAsia" w:ascii="仿宋_GB2312" w:eastAsia="仿宋_GB2312"/>
          <w:b/>
          <w:bCs/>
          <w:color w:val="000000"/>
          <w:sz w:val="32"/>
          <w:szCs w:val="30"/>
          <w:lang w:eastAsia="zh-CN"/>
        </w:rPr>
        <w:t>一</w:t>
      </w:r>
      <w:r>
        <w:rPr>
          <w:rFonts w:hint="eastAsia" w:ascii="仿宋_GB2312" w:eastAsia="仿宋_GB2312"/>
          <w:b/>
          <w:bCs/>
          <w:color w:val="000000"/>
          <w:sz w:val="32"/>
          <w:szCs w:val="30"/>
        </w:rPr>
        <w:t>）社会保障和就业支出（类）行政事业单位养老支出（款）</w:t>
      </w:r>
    </w:p>
    <w:p w14:paraId="42E23E1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rPr>
      </w:pPr>
      <w:r>
        <w:rPr>
          <w:rFonts w:hint="eastAsia" w:ascii="仿宋_GB2312" w:eastAsia="仿宋_GB2312"/>
          <w:color w:val="000000"/>
          <w:sz w:val="32"/>
          <w:szCs w:val="30"/>
        </w:rPr>
        <w:t>1. 机关事业单位基本养老保险缴费支出（项）：反映机关事业单位实施养老保险制度由单位缴纳的基本养老保险费支出；</w:t>
      </w:r>
    </w:p>
    <w:p w14:paraId="78940BB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rPr>
      </w:pPr>
      <w:r>
        <w:rPr>
          <w:rFonts w:hint="eastAsia" w:ascii="仿宋_GB2312" w:eastAsia="仿宋_GB2312"/>
          <w:color w:val="000000"/>
          <w:sz w:val="32"/>
          <w:szCs w:val="30"/>
        </w:rPr>
        <w:t>2. 机关事业单位职业年金缴费支出（项）：反映机关事业单位实施养老保险制度由单位实际缴纳的职业年金支出（含职业年金补记支出）。</w:t>
      </w:r>
    </w:p>
    <w:p w14:paraId="3B2DF16D">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lang w:val="en-US" w:eastAsia="zh-CN"/>
        </w:rPr>
      </w:pPr>
      <w:r>
        <w:rPr>
          <w:rFonts w:hint="eastAsia" w:ascii="仿宋_GB2312" w:eastAsia="仿宋_GB2312"/>
          <w:b/>
          <w:bCs/>
          <w:color w:val="000000"/>
          <w:sz w:val="32"/>
          <w:szCs w:val="30"/>
          <w:lang w:val="en-US" w:eastAsia="zh-CN"/>
        </w:rPr>
        <w:t>（二）卫生健康支出</w:t>
      </w:r>
      <w:r>
        <w:rPr>
          <w:rFonts w:hint="eastAsia" w:ascii="仿宋_GB2312" w:eastAsia="仿宋_GB2312"/>
          <w:b/>
          <w:bCs/>
          <w:color w:val="000000"/>
          <w:sz w:val="32"/>
          <w:szCs w:val="30"/>
        </w:rPr>
        <w:t>（类）行政事业单位医疗（款）</w:t>
      </w:r>
    </w:p>
    <w:p w14:paraId="1CF7FC0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3</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行政单位医疗</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反映财政部门安排的行政单位（包括实行公务员管理的事业单位，下同）基本医疗保险缴费经费，未参加医疗保险的行政单位的公费医疗经费，按国家规定享受离休人员、红军老战士待遇人员的医疗经费。</w:t>
      </w:r>
    </w:p>
    <w:p w14:paraId="3D125F4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4</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事业单位医疗</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反映财政部门安排的事业基本医疗保险缴费经费，未参加医疗保险的事业单位的公费医疗经费，按国家规定享受离休人员待遇的医疗经费。</w:t>
      </w:r>
    </w:p>
    <w:p w14:paraId="5D73EE8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5</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公务员医疗补助</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反映财政部门安排的公务员医疗补助经费。</w:t>
      </w:r>
    </w:p>
    <w:p w14:paraId="63D3A77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6</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其他行政事业单位医疗支出</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反映除上述项目以外的其他用于行政事业单位医疗方面的支出。</w:t>
      </w:r>
    </w:p>
    <w:p w14:paraId="540E703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lang w:val="en-US" w:eastAsia="zh-CN"/>
        </w:rPr>
      </w:pPr>
      <w:r>
        <w:rPr>
          <w:rFonts w:hint="eastAsia" w:ascii="仿宋_GB2312" w:eastAsia="仿宋_GB2312"/>
          <w:b/>
          <w:bCs/>
          <w:color w:val="000000"/>
          <w:sz w:val="32"/>
          <w:szCs w:val="30"/>
          <w:lang w:val="en-US" w:eastAsia="zh-CN"/>
        </w:rPr>
        <w:t>（三）交通运输支出</w:t>
      </w:r>
      <w:r>
        <w:rPr>
          <w:rFonts w:hint="eastAsia" w:ascii="仿宋_GB2312" w:eastAsia="仿宋_GB2312"/>
          <w:b/>
          <w:bCs/>
          <w:color w:val="000000"/>
          <w:sz w:val="32"/>
          <w:szCs w:val="30"/>
        </w:rPr>
        <w:t>（类）</w:t>
      </w:r>
      <w:r>
        <w:rPr>
          <w:rFonts w:hint="eastAsia" w:ascii="仿宋_GB2312" w:eastAsia="仿宋_GB2312"/>
          <w:b/>
          <w:bCs/>
          <w:color w:val="000000"/>
          <w:sz w:val="32"/>
          <w:szCs w:val="30"/>
          <w:lang w:val="en-US" w:eastAsia="zh-CN"/>
        </w:rPr>
        <w:t>公路水路运输</w:t>
      </w:r>
      <w:r>
        <w:rPr>
          <w:rFonts w:hint="eastAsia" w:ascii="仿宋_GB2312" w:eastAsia="仿宋_GB2312"/>
          <w:b/>
          <w:bCs/>
          <w:color w:val="000000"/>
          <w:sz w:val="32"/>
          <w:szCs w:val="30"/>
        </w:rPr>
        <w:t>（款）</w:t>
      </w:r>
    </w:p>
    <w:p w14:paraId="605CF74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7</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行政运行</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反映行政单位（包括实行公务员管理的事业单位）的基本支出。</w:t>
      </w:r>
    </w:p>
    <w:p w14:paraId="42C0E4C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8</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公路养护</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w:t>
      </w:r>
      <w:r>
        <w:rPr>
          <w:rFonts w:hint="eastAsia" w:ascii="仿宋_GB2312" w:hAnsi="仿宋_GB2312" w:eastAsia="仿宋_GB2312" w:cs="仿宋_GB2312"/>
          <w:kern w:val="2"/>
          <w:sz w:val="32"/>
          <w:szCs w:val="30"/>
          <w:lang w:val="en-US" w:eastAsia="zh-CN" w:bidi="ar-SA"/>
        </w:rPr>
        <w:t>公路养护支出。</w:t>
      </w:r>
    </w:p>
    <w:p w14:paraId="44A2AA7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9</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其他公路水路运输支出</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反映除上述项目以外其他用于公路水路运输方面的支出。</w:t>
      </w:r>
    </w:p>
    <w:p w14:paraId="7BCFCD64">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b/>
          <w:bCs/>
          <w:color w:val="000000"/>
          <w:sz w:val="32"/>
          <w:szCs w:val="30"/>
          <w:lang w:val="en-US" w:eastAsia="zh-CN"/>
        </w:rPr>
      </w:pPr>
      <w:r>
        <w:rPr>
          <w:rFonts w:hint="eastAsia" w:ascii="仿宋_GB2312" w:eastAsia="仿宋_GB2312"/>
          <w:b/>
          <w:bCs/>
          <w:color w:val="000000"/>
          <w:sz w:val="32"/>
          <w:szCs w:val="30"/>
          <w:lang w:val="en-US" w:eastAsia="zh-CN"/>
        </w:rPr>
        <w:t>（四）交通运输支出</w:t>
      </w:r>
      <w:r>
        <w:rPr>
          <w:rFonts w:hint="eastAsia" w:ascii="仿宋_GB2312" w:eastAsia="仿宋_GB2312"/>
          <w:b/>
          <w:bCs/>
          <w:color w:val="000000"/>
          <w:sz w:val="32"/>
          <w:szCs w:val="30"/>
        </w:rPr>
        <w:t>（类）</w:t>
      </w:r>
      <w:r>
        <w:rPr>
          <w:rFonts w:hint="eastAsia" w:ascii="仿宋_GB2312" w:eastAsia="仿宋_GB2312"/>
          <w:b/>
          <w:bCs/>
          <w:color w:val="000000"/>
          <w:sz w:val="32"/>
          <w:szCs w:val="30"/>
          <w:lang w:val="en-US" w:eastAsia="zh-CN"/>
        </w:rPr>
        <w:t>邮政业支出</w:t>
      </w:r>
      <w:r>
        <w:rPr>
          <w:rFonts w:hint="eastAsia" w:ascii="仿宋_GB2312" w:eastAsia="仿宋_GB2312"/>
          <w:b/>
          <w:bCs/>
          <w:color w:val="000000"/>
          <w:sz w:val="32"/>
          <w:szCs w:val="30"/>
        </w:rPr>
        <w:t>（款）</w:t>
      </w:r>
    </w:p>
    <w:p w14:paraId="76CB6E9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10</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其他邮政业支出</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反映除上述项目以外的其他用于</w:t>
      </w:r>
      <w:r>
        <w:rPr>
          <w:rFonts w:hint="eastAsia" w:ascii="仿宋_GB2312" w:hAnsi="仿宋" w:eastAsia="仿宋_GB2312" w:cs="Times New Roman"/>
          <w:kern w:val="2"/>
          <w:sz w:val="32"/>
          <w:szCs w:val="32"/>
          <w:lang w:val="en-US" w:eastAsia="zh-CN"/>
        </w:rPr>
        <w:t>邮政业</w:t>
      </w:r>
      <w:r>
        <w:rPr>
          <w:rFonts w:hint="eastAsia" w:ascii="仿宋_GB2312" w:hAnsi="仿宋" w:eastAsia="仿宋_GB2312" w:cs="Times New Roman"/>
          <w:kern w:val="2"/>
          <w:sz w:val="32"/>
          <w:szCs w:val="32"/>
        </w:rPr>
        <w:t>方面的支出。</w:t>
      </w:r>
    </w:p>
    <w:p w14:paraId="6B9E4E4C">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lang w:val="en-US" w:eastAsia="zh-CN"/>
        </w:rPr>
      </w:pPr>
      <w:r>
        <w:rPr>
          <w:rFonts w:hint="eastAsia" w:ascii="仿宋_GB2312" w:eastAsia="仿宋_GB2312"/>
          <w:b/>
          <w:bCs/>
          <w:color w:val="000000"/>
          <w:sz w:val="32"/>
          <w:szCs w:val="30"/>
          <w:lang w:val="en-US" w:eastAsia="zh-CN"/>
        </w:rPr>
        <w:t>（五）交通运输支出</w:t>
      </w:r>
      <w:r>
        <w:rPr>
          <w:rFonts w:hint="eastAsia" w:ascii="仿宋_GB2312" w:eastAsia="仿宋_GB2312"/>
          <w:b/>
          <w:bCs/>
          <w:color w:val="000000"/>
          <w:sz w:val="32"/>
          <w:szCs w:val="30"/>
        </w:rPr>
        <w:t>（类）</w:t>
      </w:r>
      <w:r>
        <w:rPr>
          <w:rFonts w:hint="eastAsia" w:ascii="仿宋_GB2312" w:eastAsia="仿宋_GB2312"/>
          <w:b/>
          <w:bCs/>
          <w:color w:val="000000"/>
          <w:sz w:val="32"/>
          <w:szCs w:val="30"/>
          <w:lang w:val="en-US" w:eastAsia="zh-CN"/>
        </w:rPr>
        <w:t>其他交通运输支出</w:t>
      </w:r>
      <w:r>
        <w:rPr>
          <w:rFonts w:hint="eastAsia" w:ascii="仿宋_GB2312" w:eastAsia="仿宋_GB2312"/>
          <w:b/>
          <w:bCs/>
          <w:color w:val="000000"/>
          <w:sz w:val="32"/>
          <w:szCs w:val="30"/>
        </w:rPr>
        <w:t>（款）</w:t>
      </w:r>
    </w:p>
    <w:p w14:paraId="7CEB974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11</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公共交通运营补助</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w:t>
      </w:r>
      <w:r>
        <w:rPr>
          <w:rFonts w:hint="eastAsia" w:ascii="仿宋_GB2312" w:hAnsi="仿宋" w:eastAsia="仿宋_GB2312" w:cs="Times New Roman"/>
          <w:kern w:val="2"/>
          <w:sz w:val="32"/>
          <w:szCs w:val="32"/>
          <w:lang w:val="en-US" w:eastAsia="zh-CN"/>
        </w:rPr>
        <w:t>对公共交通运输企业</w:t>
      </w:r>
      <w:r>
        <w:rPr>
          <w:rFonts w:hint="eastAsia" w:ascii="仿宋_GB2312" w:hAnsi="仿宋" w:eastAsia="仿宋_GB2312" w:cs="Times New Roman"/>
          <w:kern w:val="2"/>
          <w:sz w:val="32"/>
          <w:szCs w:val="32"/>
        </w:rPr>
        <w:t>的</w:t>
      </w:r>
      <w:r>
        <w:rPr>
          <w:rFonts w:hint="eastAsia" w:ascii="仿宋_GB2312" w:hAnsi="仿宋" w:eastAsia="仿宋_GB2312" w:cs="Times New Roman"/>
          <w:kern w:val="2"/>
          <w:sz w:val="32"/>
          <w:szCs w:val="32"/>
          <w:lang w:val="en-US" w:eastAsia="zh-CN"/>
        </w:rPr>
        <w:t>补贴</w:t>
      </w:r>
      <w:r>
        <w:rPr>
          <w:rFonts w:hint="eastAsia" w:ascii="仿宋_GB2312" w:hAnsi="仿宋" w:eastAsia="仿宋_GB2312" w:cs="Times New Roman"/>
          <w:kern w:val="2"/>
          <w:sz w:val="32"/>
          <w:szCs w:val="32"/>
        </w:rPr>
        <w:t>支出。</w:t>
      </w:r>
    </w:p>
    <w:p w14:paraId="5DF2609B">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lang w:val="en-US" w:eastAsia="zh-CN"/>
        </w:rPr>
      </w:pPr>
      <w:r>
        <w:rPr>
          <w:rFonts w:hint="eastAsia" w:ascii="仿宋_GB2312" w:eastAsia="仿宋_GB2312"/>
          <w:b/>
          <w:bCs/>
          <w:color w:val="000000"/>
          <w:sz w:val="32"/>
          <w:szCs w:val="30"/>
          <w:lang w:val="en-US" w:eastAsia="zh-CN"/>
        </w:rPr>
        <w:t>（六）资源勘探工业信息等支出</w:t>
      </w:r>
      <w:r>
        <w:rPr>
          <w:rFonts w:hint="eastAsia" w:ascii="仿宋_GB2312" w:eastAsia="仿宋_GB2312"/>
          <w:b/>
          <w:bCs/>
          <w:color w:val="000000"/>
          <w:sz w:val="32"/>
          <w:szCs w:val="30"/>
        </w:rPr>
        <w:t>（类）超长期特别国债安排的支出（款）</w:t>
      </w:r>
    </w:p>
    <w:p w14:paraId="524EB56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lang w:val="en-US" w:eastAsia="zh-CN"/>
        </w:rPr>
        <w:t>12</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制造业</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w:t>
      </w:r>
      <w:r>
        <w:rPr>
          <w:rFonts w:hint="eastAsia" w:ascii="仿宋_GB2312" w:hAnsi="仿宋" w:eastAsia="仿宋_GB2312" w:cs="Times New Roman"/>
          <w:kern w:val="2"/>
          <w:sz w:val="32"/>
          <w:szCs w:val="32"/>
          <w:lang w:val="en-US" w:eastAsia="zh-CN"/>
        </w:rPr>
        <w:t>对制造业</w:t>
      </w:r>
      <w:r>
        <w:rPr>
          <w:rFonts w:hint="eastAsia" w:ascii="仿宋_GB2312" w:hAnsi="仿宋" w:eastAsia="仿宋_GB2312" w:cs="Times New Roman"/>
          <w:kern w:val="2"/>
          <w:sz w:val="32"/>
          <w:szCs w:val="32"/>
        </w:rPr>
        <w:t>的</w:t>
      </w:r>
      <w:r>
        <w:rPr>
          <w:rFonts w:hint="eastAsia" w:ascii="仿宋_GB2312" w:hAnsi="仿宋" w:eastAsia="仿宋_GB2312" w:cs="Times New Roman"/>
          <w:kern w:val="2"/>
          <w:sz w:val="32"/>
          <w:szCs w:val="32"/>
          <w:lang w:val="en-US" w:eastAsia="zh-CN"/>
        </w:rPr>
        <w:t>补贴</w:t>
      </w:r>
      <w:r>
        <w:rPr>
          <w:rFonts w:hint="eastAsia" w:ascii="仿宋_GB2312" w:hAnsi="仿宋" w:eastAsia="仿宋_GB2312" w:cs="Times New Roman"/>
          <w:kern w:val="2"/>
          <w:sz w:val="32"/>
          <w:szCs w:val="32"/>
        </w:rPr>
        <w:t>支出。</w:t>
      </w:r>
    </w:p>
    <w:p w14:paraId="682FD9E4">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lang w:val="en-US" w:eastAsia="zh-CN"/>
        </w:rPr>
      </w:pPr>
      <w:r>
        <w:rPr>
          <w:rFonts w:hint="eastAsia" w:ascii="仿宋_GB2312" w:eastAsia="仿宋_GB2312"/>
          <w:b/>
          <w:bCs/>
          <w:color w:val="000000"/>
          <w:sz w:val="32"/>
          <w:szCs w:val="30"/>
          <w:lang w:eastAsia="zh-CN"/>
        </w:rPr>
        <w:t>（</w:t>
      </w:r>
      <w:r>
        <w:rPr>
          <w:rFonts w:hint="eastAsia" w:ascii="仿宋_GB2312" w:eastAsia="仿宋_GB2312"/>
          <w:b/>
          <w:bCs/>
          <w:color w:val="000000"/>
          <w:sz w:val="32"/>
          <w:szCs w:val="30"/>
          <w:lang w:val="en-US" w:eastAsia="zh-CN"/>
        </w:rPr>
        <w:t>七</w:t>
      </w:r>
      <w:r>
        <w:rPr>
          <w:rFonts w:hint="eastAsia" w:ascii="仿宋_GB2312" w:eastAsia="仿宋_GB2312"/>
          <w:b/>
          <w:bCs/>
          <w:color w:val="000000"/>
          <w:sz w:val="32"/>
          <w:szCs w:val="30"/>
          <w:lang w:eastAsia="zh-CN"/>
        </w:rPr>
        <w:t>）</w:t>
      </w:r>
      <w:r>
        <w:rPr>
          <w:rFonts w:hint="eastAsia" w:ascii="仿宋_GB2312" w:eastAsia="仿宋_GB2312"/>
          <w:b/>
          <w:bCs/>
          <w:color w:val="000000"/>
          <w:sz w:val="32"/>
          <w:szCs w:val="30"/>
        </w:rPr>
        <w:t>住房保障支出（类）住房改革支出（款）</w:t>
      </w:r>
    </w:p>
    <w:p w14:paraId="0C84318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ascii="仿宋_GB2312" w:eastAsia="仿宋_GB2312"/>
          <w:color w:val="000000"/>
          <w:sz w:val="32"/>
          <w:szCs w:val="30"/>
        </w:rPr>
      </w:pPr>
      <w:r>
        <w:rPr>
          <w:rFonts w:hint="eastAsia" w:ascii="仿宋_GB2312" w:eastAsia="仿宋_GB2312"/>
          <w:color w:val="000000"/>
          <w:sz w:val="32"/>
          <w:szCs w:val="30"/>
          <w:lang w:val="en-US" w:eastAsia="zh-CN"/>
        </w:rPr>
        <w:t>13</w:t>
      </w:r>
      <w:r>
        <w:rPr>
          <w:rFonts w:hint="eastAsia" w:ascii="仿宋_GB2312" w:eastAsia="仿宋_GB2312"/>
          <w:color w:val="000000"/>
          <w:sz w:val="32"/>
          <w:szCs w:val="30"/>
        </w:rPr>
        <w:t xml:space="preserve">. </w:t>
      </w:r>
      <w:r>
        <w:rPr>
          <w:rFonts w:hint="eastAsia" w:ascii="仿宋_GB2312" w:hAnsi="仿宋_GB2312" w:eastAsia="仿宋_GB2312" w:cs="仿宋_GB2312"/>
          <w:kern w:val="2"/>
          <w:sz w:val="32"/>
          <w:szCs w:val="30"/>
          <w:lang w:val="en-US" w:eastAsia="zh-CN" w:bidi="ar-SA"/>
        </w:rPr>
        <w:t>住房公积金</w:t>
      </w:r>
      <w:r>
        <w:rPr>
          <w:rFonts w:hint="eastAsia" w:ascii="仿宋_GB2312" w:eastAsia="仿宋_GB2312"/>
          <w:color w:val="000000"/>
          <w:sz w:val="32"/>
          <w:szCs w:val="30"/>
        </w:rPr>
        <w:t>（项）：</w:t>
      </w:r>
      <w:r>
        <w:rPr>
          <w:rFonts w:hint="eastAsia" w:ascii="仿宋_GB2312" w:hAnsi="仿宋" w:eastAsia="仿宋_GB2312" w:cs="Times New Roman"/>
          <w:kern w:val="2"/>
          <w:sz w:val="32"/>
          <w:szCs w:val="32"/>
        </w:rPr>
        <w:t>反映行政事业单位按人力资源和社会保障部、财政部规定的基本工资和津补贴以及规定比例为职工缴纳的住房公积金。</w:t>
      </w:r>
    </w:p>
    <w:p w14:paraId="27595E82">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三、相关专业名词</w:t>
      </w:r>
    </w:p>
    <w:p w14:paraId="191E2B76">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（一）机关运行费：</w:t>
      </w:r>
      <w:r>
        <w:rPr>
          <w:rFonts w:hint="eastAsia" w:ascii="仿宋_GB2312" w:hAnsi="仿宋_GB2312" w:eastAsia="仿宋_GB2312" w:cs="仿宋_GB2312"/>
          <w:kern w:val="2"/>
          <w:sz w:val="32"/>
          <w:szCs w:val="30"/>
          <w:lang w:val="en-US" w:eastAsia="zh-CN" w:bidi="ar-SA"/>
        </w:rPr>
        <w:t>指用一般公共预算财政拨款安排的为保障行政单位（含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0450FEF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仿宋" w:hAnsi="仿宋" w:eastAsia="仿宋"/>
          <w:color w:val="000000"/>
          <w:sz w:val="32"/>
          <w:szCs w:val="32"/>
        </w:rPr>
      </w:pPr>
      <w:r>
        <w:rPr>
          <w:rStyle w:val="11"/>
          <w:rFonts w:hint="eastAsia" w:ascii="楷体_GB2312" w:hAnsi="楷体_GB2312" w:eastAsia="楷体_GB2312" w:cs="楷体_GB2312"/>
          <w:b/>
          <w:bCs w:val="0"/>
          <w:sz w:val="32"/>
          <w:szCs w:val="32"/>
        </w:rPr>
        <w:t>（二）“三公”经费：</w:t>
      </w:r>
      <w:r>
        <w:rPr>
          <w:rFonts w:hint="eastAsia" w:ascii="仿宋_GB2312" w:hAnsi="仿宋_GB2312" w:eastAsia="仿宋_GB2312" w:cs="仿宋_GB2312"/>
          <w:kern w:val="2"/>
          <w:sz w:val="32"/>
          <w:szCs w:val="30"/>
          <w:lang w:val="en-US" w:eastAsia="zh-CN" w:bidi="ar-SA"/>
        </w:rPr>
        <w:t>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大标宋简体">
    <w:altName w:val="Arial Unicode MS"/>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56F28">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B65E86"/>
    <w:multiLevelType w:val="singleLevel"/>
    <w:tmpl w:val="23B65E86"/>
    <w:lvl w:ilvl="0" w:tentative="0">
      <w:start w:val="9"/>
      <w:numFmt w:val="chineseCounting"/>
      <w:suff w:val="nothing"/>
      <w:lvlText w:val="（%1）"/>
      <w:lvlJc w:val="left"/>
      <w:rPr>
        <w:rFonts w:hint="eastAsia"/>
      </w:rPr>
    </w:lvl>
  </w:abstractNum>
  <w:abstractNum w:abstractNumId="1">
    <w:nsid w:val="6D041C08"/>
    <w:multiLevelType w:val="singleLevel"/>
    <w:tmpl w:val="6D041C08"/>
    <w:lvl w:ilvl="0" w:tentative="0">
      <w:start w:val="1"/>
      <w:numFmt w:val="chineseCounting"/>
      <w:suff w:val="nothing"/>
      <w:lvlText w:val="（%1）"/>
      <w:lvlJc w:val="left"/>
      <w:pPr>
        <w:ind w:left="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jQ3YWNmZWRmNmZhZGUxYmY3ZDJjYjM1ZWVjNjgxNzEifQ=="/>
    <w:docVar w:name="KSO_WPS_MARK_KEY" w:val="dc1af74b-1abe-4496-b965-79deeb27cc8e"/>
  </w:docVars>
  <w:rsids>
    <w:rsidRoot w:val="00DF43D8"/>
    <w:rsid w:val="000001B2"/>
    <w:rsid w:val="00014049"/>
    <w:rsid w:val="0001648A"/>
    <w:rsid w:val="00022CB3"/>
    <w:rsid w:val="00031749"/>
    <w:rsid w:val="00041EAA"/>
    <w:rsid w:val="000501C3"/>
    <w:rsid w:val="00055F20"/>
    <w:rsid w:val="000630BE"/>
    <w:rsid w:val="0006515E"/>
    <w:rsid w:val="00085227"/>
    <w:rsid w:val="0009034E"/>
    <w:rsid w:val="000927A9"/>
    <w:rsid w:val="000963CD"/>
    <w:rsid w:val="000A2066"/>
    <w:rsid w:val="000B313A"/>
    <w:rsid w:val="000B4F9E"/>
    <w:rsid w:val="000C6AF7"/>
    <w:rsid w:val="000E1BC2"/>
    <w:rsid w:val="000E6313"/>
    <w:rsid w:val="000F227D"/>
    <w:rsid w:val="000F2E5F"/>
    <w:rsid w:val="00104F58"/>
    <w:rsid w:val="00117D8C"/>
    <w:rsid w:val="00131F78"/>
    <w:rsid w:val="001823EA"/>
    <w:rsid w:val="00186709"/>
    <w:rsid w:val="00192620"/>
    <w:rsid w:val="00193C37"/>
    <w:rsid w:val="001C4ED5"/>
    <w:rsid w:val="001C6F31"/>
    <w:rsid w:val="001D2644"/>
    <w:rsid w:val="001E0EE7"/>
    <w:rsid w:val="001E6FA2"/>
    <w:rsid w:val="001F1DED"/>
    <w:rsid w:val="0021331D"/>
    <w:rsid w:val="00213D4E"/>
    <w:rsid w:val="0022612A"/>
    <w:rsid w:val="00232A32"/>
    <w:rsid w:val="002436CD"/>
    <w:rsid w:val="00251AD0"/>
    <w:rsid w:val="00281E28"/>
    <w:rsid w:val="00283C63"/>
    <w:rsid w:val="00284437"/>
    <w:rsid w:val="002A02B4"/>
    <w:rsid w:val="002A1ED6"/>
    <w:rsid w:val="002A45BD"/>
    <w:rsid w:val="002B0263"/>
    <w:rsid w:val="002B128B"/>
    <w:rsid w:val="002B2D42"/>
    <w:rsid w:val="002C2478"/>
    <w:rsid w:val="002D2681"/>
    <w:rsid w:val="002D418E"/>
    <w:rsid w:val="002D497C"/>
    <w:rsid w:val="002D7200"/>
    <w:rsid w:val="0030186C"/>
    <w:rsid w:val="003057A1"/>
    <w:rsid w:val="00316059"/>
    <w:rsid w:val="00316B29"/>
    <w:rsid w:val="0032092A"/>
    <w:rsid w:val="00323750"/>
    <w:rsid w:val="00334A98"/>
    <w:rsid w:val="00344E49"/>
    <w:rsid w:val="00380DD1"/>
    <w:rsid w:val="00394DC6"/>
    <w:rsid w:val="003959F5"/>
    <w:rsid w:val="003A2923"/>
    <w:rsid w:val="003B68F4"/>
    <w:rsid w:val="003B76FD"/>
    <w:rsid w:val="003C0BFF"/>
    <w:rsid w:val="003C0D66"/>
    <w:rsid w:val="003C19AF"/>
    <w:rsid w:val="003C7840"/>
    <w:rsid w:val="003D0809"/>
    <w:rsid w:val="00406851"/>
    <w:rsid w:val="004345D9"/>
    <w:rsid w:val="00436836"/>
    <w:rsid w:val="0044016E"/>
    <w:rsid w:val="00446148"/>
    <w:rsid w:val="004535A0"/>
    <w:rsid w:val="00456869"/>
    <w:rsid w:val="004664AF"/>
    <w:rsid w:val="00472987"/>
    <w:rsid w:val="00480768"/>
    <w:rsid w:val="00495985"/>
    <w:rsid w:val="00496629"/>
    <w:rsid w:val="004A0058"/>
    <w:rsid w:val="004B06B4"/>
    <w:rsid w:val="004D6A23"/>
    <w:rsid w:val="004E0577"/>
    <w:rsid w:val="004E5555"/>
    <w:rsid w:val="004F5378"/>
    <w:rsid w:val="004F7260"/>
    <w:rsid w:val="005006DE"/>
    <w:rsid w:val="00502AB1"/>
    <w:rsid w:val="00516279"/>
    <w:rsid w:val="0052565B"/>
    <w:rsid w:val="00526265"/>
    <w:rsid w:val="00526CE0"/>
    <w:rsid w:val="00532264"/>
    <w:rsid w:val="00544895"/>
    <w:rsid w:val="00553AA6"/>
    <w:rsid w:val="00555080"/>
    <w:rsid w:val="0055670D"/>
    <w:rsid w:val="00571A5D"/>
    <w:rsid w:val="00580BF8"/>
    <w:rsid w:val="005828C8"/>
    <w:rsid w:val="005902D1"/>
    <w:rsid w:val="0059038A"/>
    <w:rsid w:val="0059672A"/>
    <w:rsid w:val="00596957"/>
    <w:rsid w:val="005A3FD6"/>
    <w:rsid w:val="005A65E4"/>
    <w:rsid w:val="005C3676"/>
    <w:rsid w:val="005C3DDD"/>
    <w:rsid w:val="005D7ACB"/>
    <w:rsid w:val="005F090C"/>
    <w:rsid w:val="005F35BD"/>
    <w:rsid w:val="005F69D4"/>
    <w:rsid w:val="00611FE7"/>
    <w:rsid w:val="00623A52"/>
    <w:rsid w:val="006247CA"/>
    <w:rsid w:val="00631E83"/>
    <w:rsid w:val="00631FA4"/>
    <w:rsid w:val="00650900"/>
    <w:rsid w:val="00655E8B"/>
    <w:rsid w:val="00660CC3"/>
    <w:rsid w:val="006740FD"/>
    <w:rsid w:val="006833F4"/>
    <w:rsid w:val="00687B67"/>
    <w:rsid w:val="006918B8"/>
    <w:rsid w:val="006924DA"/>
    <w:rsid w:val="00696646"/>
    <w:rsid w:val="006A1709"/>
    <w:rsid w:val="006C08EA"/>
    <w:rsid w:val="006C185B"/>
    <w:rsid w:val="006C3868"/>
    <w:rsid w:val="006F20BD"/>
    <w:rsid w:val="00704CAB"/>
    <w:rsid w:val="0075709B"/>
    <w:rsid w:val="007574FE"/>
    <w:rsid w:val="00777795"/>
    <w:rsid w:val="00777962"/>
    <w:rsid w:val="007913DC"/>
    <w:rsid w:val="00792A6C"/>
    <w:rsid w:val="0079393D"/>
    <w:rsid w:val="00796F4F"/>
    <w:rsid w:val="007A4D44"/>
    <w:rsid w:val="007B4314"/>
    <w:rsid w:val="007C27E0"/>
    <w:rsid w:val="007D4ACC"/>
    <w:rsid w:val="007F1616"/>
    <w:rsid w:val="007F4968"/>
    <w:rsid w:val="007F5C86"/>
    <w:rsid w:val="007F79A6"/>
    <w:rsid w:val="008032D2"/>
    <w:rsid w:val="00804C42"/>
    <w:rsid w:val="00823697"/>
    <w:rsid w:val="00846526"/>
    <w:rsid w:val="008506D9"/>
    <w:rsid w:val="00863898"/>
    <w:rsid w:val="00865CCE"/>
    <w:rsid w:val="00865FE3"/>
    <w:rsid w:val="00872CE4"/>
    <w:rsid w:val="00875B04"/>
    <w:rsid w:val="00876D17"/>
    <w:rsid w:val="008827CA"/>
    <w:rsid w:val="00882C91"/>
    <w:rsid w:val="00884FAE"/>
    <w:rsid w:val="008979F6"/>
    <w:rsid w:val="00897CAC"/>
    <w:rsid w:val="008A2491"/>
    <w:rsid w:val="008B52E8"/>
    <w:rsid w:val="008C011F"/>
    <w:rsid w:val="008C01B1"/>
    <w:rsid w:val="008C6EEE"/>
    <w:rsid w:val="008E1EFA"/>
    <w:rsid w:val="00902917"/>
    <w:rsid w:val="009160F0"/>
    <w:rsid w:val="0091783F"/>
    <w:rsid w:val="0094115F"/>
    <w:rsid w:val="009421D2"/>
    <w:rsid w:val="0094514C"/>
    <w:rsid w:val="00946A59"/>
    <w:rsid w:val="009471C3"/>
    <w:rsid w:val="0095097A"/>
    <w:rsid w:val="009527A7"/>
    <w:rsid w:val="009557AC"/>
    <w:rsid w:val="00956999"/>
    <w:rsid w:val="009619B4"/>
    <w:rsid w:val="00964DCD"/>
    <w:rsid w:val="00973905"/>
    <w:rsid w:val="0097415C"/>
    <w:rsid w:val="00984ACE"/>
    <w:rsid w:val="009A4624"/>
    <w:rsid w:val="009A7AB9"/>
    <w:rsid w:val="009B2C7D"/>
    <w:rsid w:val="009B4813"/>
    <w:rsid w:val="009C2EBF"/>
    <w:rsid w:val="009C3827"/>
    <w:rsid w:val="009D3197"/>
    <w:rsid w:val="009E1C45"/>
    <w:rsid w:val="009E1F3F"/>
    <w:rsid w:val="009F72E5"/>
    <w:rsid w:val="00A0455D"/>
    <w:rsid w:val="00A10F16"/>
    <w:rsid w:val="00A2168A"/>
    <w:rsid w:val="00A345A4"/>
    <w:rsid w:val="00A54282"/>
    <w:rsid w:val="00A55773"/>
    <w:rsid w:val="00A60B4D"/>
    <w:rsid w:val="00A81BA2"/>
    <w:rsid w:val="00AA62DE"/>
    <w:rsid w:val="00AB656D"/>
    <w:rsid w:val="00AB7307"/>
    <w:rsid w:val="00AC370A"/>
    <w:rsid w:val="00AF095D"/>
    <w:rsid w:val="00AF57C9"/>
    <w:rsid w:val="00AF62CD"/>
    <w:rsid w:val="00B0337F"/>
    <w:rsid w:val="00B128C8"/>
    <w:rsid w:val="00B169A7"/>
    <w:rsid w:val="00B348A8"/>
    <w:rsid w:val="00B619F8"/>
    <w:rsid w:val="00B6242B"/>
    <w:rsid w:val="00B71EBE"/>
    <w:rsid w:val="00B82840"/>
    <w:rsid w:val="00B96CEB"/>
    <w:rsid w:val="00BA572C"/>
    <w:rsid w:val="00BF0316"/>
    <w:rsid w:val="00C03AFB"/>
    <w:rsid w:val="00C35830"/>
    <w:rsid w:val="00C4059E"/>
    <w:rsid w:val="00C474E4"/>
    <w:rsid w:val="00C61B8F"/>
    <w:rsid w:val="00C644A7"/>
    <w:rsid w:val="00C771B3"/>
    <w:rsid w:val="00C803DA"/>
    <w:rsid w:val="00C82CA3"/>
    <w:rsid w:val="00CB10B2"/>
    <w:rsid w:val="00CB3DBA"/>
    <w:rsid w:val="00CC4504"/>
    <w:rsid w:val="00CC4FF5"/>
    <w:rsid w:val="00CC517F"/>
    <w:rsid w:val="00CD0083"/>
    <w:rsid w:val="00CE1A2B"/>
    <w:rsid w:val="00CE6F1B"/>
    <w:rsid w:val="00CE7185"/>
    <w:rsid w:val="00CF0A52"/>
    <w:rsid w:val="00D00272"/>
    <w:rsid w:val="00D01624"/>
    <w:rsid w:val="00D11449"/>
    <w:rsid w:val="00D14B5F"/>
    <w:rsid w:val="00D17D0A"/>
    <w:rsid w:val="00D20C6C"/>
    <w:rsid w:val="00D23489"/>
    <w:rsid w:val="00D3381E"/>
    <w:rsid w:val="00D36173"/>
    <w:rsid w:val="00D41219"/>
    <w:rsid w:val="00D524EE"/>
    <w:rsid w:val="00D666BC"/>
    <w:rsid w:val="00D678E3"/>
    <w:rsid w:val="00D826D7"/>
    <w:rsid w:val="00D86F52"/>
    <w:rsid w:val="00DB0580"/>
    <w:rsid w:val="00DD15FE"/>
    <w:rsid w:val="00DE2065"/>
    <w:rsid w:val="00DE20E0"/>
    <w:rsid w:val="00DE5904"/>
    <w:rsid w:val="00DE6773"/>
    <w:rsid w:val="00DF2E83"/>
    <w:rsid w:val="00DF43D8"/>
    <w:rsid w:val="00E04E74"/>
    <w:rsid w:val="00E11187"/>
    <w:rsid w:val="00E17B11"/>
    <w:rsid w:val="00E34083"/>
    <w:rsid w:val="00E365F2"/>
    <w:rsid w:val="00E503CC"/>
    <w:rsid w:val="00E5794A"/>
    <w:rsid w:val="00E60E90"/>
    <w:rsid w:val="00E83029"/>
    <w:rsid w:val="00E9293D"/>
    <w:rsid w:val="00E92A8B"/>
    <w:rsid w:val="00E97D8C"/>
    <w:rsid w:val="00EA3654"/>
    <w:rsid w:val="00EA36FC"/>
    <w:rsid w:val="00EB5768"/>
    <w:rsid w:val="00EB656D"/>
    <w:rsid w:val="00EB6777"/>
    <w:rsid w:val="00EC3DDF"/>
    <w:rsid w:val="00ED0D2B"/>
    <w:rsid w:val="00EE5DE1"/>
    <w:rsid w:val="00EE6568"/>
    <w:rsid w:val="00F01B58"/>
    <w:rsid w:val="00F11FE4"/>
    <w:rsid w:val="00F132AE"/>
    <w:rsid w:val="00F2583E"/>
    <w:rsid w:val="00F32E83"/>
    <w:rsid w:val="00F823EA"/>
    <w:rsid w:val="00F95E5A"/>
    <w:rsid w:val="00F975EB"/>
    <w:rsid w:val="00FA278B"/>
    <w:rsid w:val="00FA354D"/>
    <w:rsid w:val="00FA3B89"/>
    <w:rsid w:val="00FD29E0"/>
    <w:rsid w:val="00FE0E90"/>
    <w:rsid w:val="00FE32CC"/>
    <w:rsid w:val="00FE7CCF"/>
    <w:rsid w:val="00FF60EC"/>
    <w:rsid w:val="00FF6368"/>
    <w:rsid w:val="06483D8D"/>
    <w:rsid w:val="067A6028"/>
    <w:rsid w:val="07BA4190"/>
    <w:rsid w:val="09B428D7"/>
    <w:rsid w:val="0C97247A"/>
    <w:rsid w:val="0DB3098E"/>
    <w:rsid w:val="0ED6422F"/>
    <w:rsid w:val="0F8E55BD"/>
    <w:rsid w:val="14A20E81"/>
    <w:rsid w:val="15167DBF"/>
    <w:rsid w:val="1658151F"/>
    <w:rsid w:val="17354E03"/>
    <w:rsid w:val="1D3B2063"/>
    <w:rsid w:val="206D0602"/>
    <w:rsid w:val="22430342"/>
    <w:rsid w:val="22837C9C"/>
    <w:rsid w:val="22D6293C"/>
    <w:rsid w:val="25B931E9"/>
    <w:rsid w:val="2828673B"/>
    <w:rsid w:val="289E2971"/>
    <w:rsid w:val="291572B2"/>
    <w:rsid w:val="2C3F62CD"/>
    <w:rsid w:val="2C57797E"/>
    <w:rsid w:val="317B243F"/>
    <w:rsid w:val="3328400E"/>
    <w:rsid w:val="37D43B3D"/>
    <w:rsid w:val="3A841EE9"/>
    <w:rsid w:val="3A9F1A72"/>
    <w:rsid w:val="3B7D1841"/>
    <w:rsid w:val="3F383632"/>
    <w:rsid w:val="4052753A"/>
    <w:rsid w:val="48E0596C"/>
    <w:rsid w:val="4A901356"/>
    <w:rsid w:val="53516268"/>
    <w:rsid w:val="562E4844"/>
    <w:rsid w:val="56C47F55"/>
    <w:rsid w:val="5CF87539"/>
    <w:rsid w:val="63E33020"/>
    <w:rsid w:val="6BE248E5"/>
    <w:rsid w:val="6EDB6140"/>
    <w:rsid w:val="71001F2A"/>
    <w:rsid w:val="73A85115"/>
    <w:rsid w:val="792372BD"/>
    <w:rsid w:val="79E80200"/>
    <w:rsid w:val="7FB747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jc w:val="left"/>
    </w:pPr>
    <w:rPr>
      <w:rFonts w:ascii="宋体" w:hAnsi="宋体" w:cs="宋体"/>
      <w:kern w:val="0"/>
      <w:sz w:val="24"/>
      <w:szCs w:val="24"/>
    </w:rPr>
  </w:style>
  <w:style w:type="character" w:styleId="7">
    <w:name w:val="Hyperlink"/>
    <w:basedOn w:val="6"/>
    <w:qFormat/>
    <w:uiPriority w:val="0"/>
    <w:rPr>
      <w:color w:val="0000FF"/>
      <w:u w:val="single"/>
    </w:rPr>
  </w:style>
  <w:style w:type="character" w:customStyle="1" w:styleId="8">
    <w:name w:val="页眉 Char"/>
    <w:basedOn w:val="6"/>
    <w:link w:val="3"/>
    <w:qFormat/>
    <w:uiPriority w:val="99"/>
    <w:rPr>
      <w:sz w:val="18"/>
      <w:szCs w:val="18"/>
    </w:rPr>
  </w:style>
  <w:style w:type="character" w:customStyle="1" w:styleId="9">
    <w:name w:val="页脚 Char"/>
    <w:basedOn w:val="6"/>
    <w:link w:val="2"/>
    <w:qFormat/>
    <w:uiPriority w:val="99"/>
    <w:rPr>
      <w:sz w:val="18"/>
      <w:szCs w:val="18"/>
    </w:rPr>
  </w:style>
  <w:style w:type="character" w:customStyle="1" w:styleId="10">
    <w:name w:val="row_tree_level_3"/>
    <w:basedOn w:val="6"/>
    <w:qFormat/>
    <w:uiPriority w:val="0"/>
  </w:style>
  <w:style w:type="character" w:customStyle="1" w:styleId="11">
    <w:name w:val="row_tree_level_4"/>
    <w:basedOn w:val="6"/>
    <w:qFormat/>
    <w:uiPriority w:val="0"/>
  </w:style>
  <w:style w:type="paragraph" w:customStyle="1" w:styleId="12">
    <w:name w:val="p0"/>
    <w:basedOn w:val="1"/>
    <w:qFormat/>
    <w:uiPriority w:val="0"/>
    <w:pPr>
      <w:widowControl/>
    </w:pPr>
    <w:rPr>
      <w:rFonts w:ascii="Times New Roman" w:hAnsi="Times New Roman" w:eastAsia="宋体" w:cs="Times New Roman"/>
      <w:kern w:val="0"/>
      <w:szCs w:val="21"/>
    </w:rPr>
  </w:style>
  <w:style w:type="character" w:customStyle="1" w:styleId="13">
    <w:name w:val="15"/>
    <w:basedOn w:val="6"/>
    <w:qFormat/>
    <w:uiPriority w:val="0"/>
    <w:rPr>
      <w:rFonts w:hint="default" w:ascii="Times New Roman" w:hAnsi="Times New Roma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4414</Words>
  <Characters>4837</Characters>
  <Lines>51</Lines>
  <Paragraphs>14</Paragraphs>
  <TotalTime>0</TotalTime>
  <ScaleCrop>false</ScaleCrop>
  <LinksUpToDate>false</LinksUpToDate>
  <CharactersWithSpaces>4871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2015-04-23T05:26:00Z</dcterms:created>
  <dc:creator>NTKO</dc:creator>
  <cp:lastModifiedBy>程昌</cp:lastModifiedBy>
  <cp:lastPrinted>2024-02-05T02:35:00Z</cp:lastPrinted>
  <dcterms:modified xsi:type="dcterms:W3CDTF">2026-09-08T07:56:28Z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26856AD12D2B426282A6CAC3B8845BFD_12</vt:lpwstr>
  </property>
  <property fmtid="{D5CDD505-2E9C-101B-9397-08002B2CF9AE}" pid="4" name="KSOTemplateDocerSaveRecord">
    <vt:lpwstr>eyJoZGlkIjoiNjA5YjE2ZDc4ODJjNTJiNTA4NWFlMjY4Yzc3ZjRkNzIiLCJ1c2VySWQiOiIxNTU4NTI2MDA0In0=</vt:lpwstr>
  </property>
</Properties>
</file>