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3FD5D9">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lang w:eastAsia="zh-CN"/>
        </w:rPr>
      </w:pPr>
      <w:r>
        <w:rPr>
          <w:rFonts w:hint="eastAsia" w:ascii="方正小标宋简体" w:hAnsi="方正小标宋简体" w:eastAsia="方正小标宋简体" w:cs="方正小标宋简体"/>
          <w:b w:val="0"/>
          <w:bCs w:val="0"/>
          <w:color w:val="000000"/>
          <w:kern w:val="0"/>
          <w:sz w:val="44"/>
          <w:szCs w:val="44"/>
          <w:lang w:eastAsia="zh-CN"/>
        </w:rPr>
        <w:t>景德镇市交通运输事业发展中心</w:t>
      </w:r>
    </w:p>
    <w:p w14:paraId="79B2DCB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lang w:eastAsia="zh-CN"/>
        </w:rPr>
        <w:t>2025</w:t>
      </w:r>
      <w:r>
        <w:rPr>
          <w:rFonts w:hint="eastAsia" w:ascii="方正小标宋简体" w:hAnsi="方正小标宋简体" w:eastAsia="方正小标宋简体" w:cs="方正小标宋简体"/>
          <w:b w:val="0"/>
          <w:bCs w:val="0"/>
          <w:color w:val="000000"/>
          <w:kern w:val="0"/>
          <w:sz w:val="44"/>
          <w:szCs w:val="44"/>
        </w:rPr>
        <w:t>年</w:t>
      </w:r>
      <w:r>
        <w:rPr>
          <w:rFonts w:hint="eastAsia" w:ascii="方正小标宋简体" w:hAnsi="方正小标宋简体" w:eastAsia="方正小标宋简体" w:cs="方正小标宋简体"/>
          <w:b w:val="0"/>
          <w:bCs w:val="0"/>
          <w:color w:val="000000"/>
          <w:kern w:val="0"/>
          <w:sz w:val="44"/>
          <w:szCs w:val="44"/>
          <w:lang w:eastAsia="zh-CN"/>
        </w:rPr>
        <w:t>单位</w:t>
      </w:r>
      <w:r>
        <w:rPr>
          <w:rFonts w:hint="eastAsia" w:ascii="方正小标宋简体" w:hAnsi="方正小标宋简体" w:eastAsia="方正小标宋简体" w:cs="方正小标宋简体"/>
          <w:b w:val="0"/>
          <w:bCs w:val="0"/>
          <w:color w:val="000000"/>
          <w:kern w:val="0"/>
          <w:sz w:val="44"/>
          <w:szCs w:val="44"/>
        </w:rPr>
        <w:t>预算</w:t>
      </w:r>
    </w:p>
    <w:p w14:paraId="712743D2">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大标宋简体" w:hAnsi="方正大标宋简体" w:eastAsia="方正大标宋简体" w:cs="方正大标宋简体"/>
          <w:b w:val="0"/>
          <w:bCs w:val="0"/>
          <w:color w:val="000000"/>
          <w:kern w:val="0"/>
          <w:sz w:val="44"/>
          <w:szCs w:val="44"/>
        </w:rPr>
      </w:pPr>
    </w:p>
    <w:p w14:paraId="5F7730C0">
      <w:pPr>
        <w:pStyle w:val="12"/>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目    录</w:t>
      </w:r>
    </w:p>
    <w:p w14:paraId="744466FC">
      <w:pPr>
        <w:pStyle w:val="12"/>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黑体" w:hAnsi="黑体" w:eastAsia="黑体"/>
          <w:color w:val="000000"/>
          <w:sz w:val="32"/>
          <w:szCs w:val="32"/>
        </w:rPr>
      </w:pPr>
    </w:p>
    <w:p w14:paraId="70FEC159">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ascii="仿宋_GB2312" w:eastAsia="仿宋_GB2312"/>
          <w:b/>
          <w:bCs/>
          <w:color w:val="000000"/>
          <w:sz w:val="32"/>
          <w:szCs w:val="32"/>
        </w:rPr>
      </w:pPr>
      <w:r>
        <w:rPr>
          <w:rFonts w:hint="eastAsia" w:ascii="黑体" w:hAnsi="黑体" w:eastAsia="黑体" w:cs="黑体"/>
          <w:b/>
          <w:bCs/>
          <w:color w:val="000000"/>
          <w:sz w:val="32"/>
          <w:szCs w:val="32"/>
        </w:rPr>
        <w:t xml:space="preserve">第一部分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lang w:eastAsia="zh-CN"/>
        </w:rPr>
        <w:t>景德镇市交通运输事业发展中心</w:t>
      </w:r>
      <w:r>
        <w:rPr>
          <w:rFonts w:hint="eastAsia" w:ascii="黑体" w:hAnsi="黑体" w:eastAsia="黑体" w:cs="黑体"/>
          <w:sz w:val="32"/>
          <w:szCs w:val="32"/>
        </w:rPr>
        <w:fldChar w:fldCharType="end"/>
      </w:r>
      <w:r>
        <w:rPr>
          <w:rFonts w:hint="eastAsia" w:ascii="黑体" w:hAnsi="黑体" w:eastAsia="黑体" w:cs="黑体"/>
          <w:b/>
          <w:bCs/>
          <w:color w:val="000000"/>
          <w:sz w:val="32"/>
          <w:szCs w:val="32"/>
        </w:rPr>
        <w:t>概况</w:t>
      </w:r>
    </w:p>
    <w:p w14:paraId="252BD6C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主要职责</w:t>
      </w:r>
    </w:p>
    <w:p w14:paraId="696E1669">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二、机构设置及人员情况</w:t>
      </w:r>
    </w:p>
    <w:p w14:paraId="04B6B2AB">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二</w:t>
      </w:r>
      <w:r>
        <w:rPr>
          <w:rFonts w:hint="eastAsia" w:ascii="黑体" w:hAnsi="黑体" w:eastAsia="黑体" w:cs="黑体"/>
          <w:b/>
          <w:bCs/>
          <w:color w:val="000000"/>
          <w:sz w:val="32"/>
          <w:szCs w:val="32"/>
        </w:rPr>
        <w:t>部分</w:t>
      </w:r>
      <w:r>
        <w:rPr>
          <w:rFonts w:hint="eastAsia" w:ascii="黑体" w:hAnsi="黑体" w:eastAsia="黑体" w:cs="黑体"/>
          <w:b/>
          <w:bCs/>
          <w:color w:val="000000"/>
          <w:sz w:val="32"/>
          <w:szCs w:val="32"/>
          <w:lang w:val="en-US" w:eastAsia="zh-CN"/>
        </w:rPr>
        <w:t xml:space="preserve"> </w:t>
      </w:r>
      <w:r>
        <w:rPr>
          <w:rFonts w:hint="eastAsia" w:ascii="黑体" w:hAnsi="黑体" w:eastAsia="黑体" w:cs="黑体"/>
          <w:b/>
          <w:bCs/>
          <w:color w:val="000000"/>
          <w:sz w:val="32"/>
          <w:szCs w:val="32"/>
        </w:rPr>
        <w:t xml:space="preserve"> </w:t>
      </w:r>
      <w:r>
        <w:rPr>
          <w:rFonts w:hint="eastAsia" w:ascii="黑体" w:hAnsi="黑体" w:eastAsia="黑体" w:cs="黑体"/>
          <w:b/>
          <w:bCs/>
          <w:color w:val="000000"/>
          <w:sz w:val="32"/>
          <w:szCs w:val="32"/>
        </w:rPr>
        <w:fldChar w:fldCharType="begin"/>
      </w:r>
      <w:r>
        <w:rPr>
          <w:rFonts w:hint="eastAsia" w:ascii="黑体" w:hAnsi="黑体" w:eastAsia="黑体" w:cs="黑体"/>
          <w:b/>
          <w:bCs/>
          <w:color w:val="000000"/>
          <w:sz w:val="32"/>
          <w:szCs w:val="32"/>
        </w:rPr>
        <w:instrText xml:space="preserve">MERGEFIELD ${page400644146.ds509943833_REP_JXJC_AGENCY_WZR_NAME}</w:instrText>
      </w:r>
      <w:r>
        <w:rPr>
          <w:rFonts w:hint="eastAsia" w:ascii="黑体" w:hAnsi="黑体" w:eastAsia="黑体" w:cs="黑体"/>
          <w:b/>
          <w:bCs/>
          <w:color w:val="000000"/>
          <w:sz w:val="32"/>
          <w:szCs w:val="32"/>
        </w:rPr>
        <w:fldChar w:fldCharType="separate"/>
      </w:r>
      <w:r>
        <w:rPr>
          <w:rFonts w:hint="eastAsia" w:ascii="黑体" w:hAnsi="黑体" w:eastAsia="黑体" w:cs="黑体"/>
          <w:b/>
          <w:bCs/>
          <w:color w:val="000000"/>
          <w:sz w:val="32"/>
          <w:szCs w:val="32"/>
          <w:lang w:eastAsia="zh-CN"/>
        </w:rPr>
        <w:t>景德镇市交通运输事业发展中心</w:t>
      </w:r>
      <w:r>
        <w:rPr>
          <w:rFonts w:hint="eastAsia" w:ascii="黑体" w:hAnsi="黑体" w:eastAsia="黑体" w:cs="黑体"/>
          <w:b/>
          <w:bCs/>
          <w:color w:val="000000"/>
          <w:sz w:val="32"/>
          <w:szCs w:val="32"/>
        </w:rPr>
        <w:fldChar w:fldCharType="end"/>
      </w: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预算表</w:t>
      </w:r>
    </w:p>
    <w:p w14:paraId="50344FD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一、《收支预算总表》</w:t>
      </w:r>
    </w:p>
    <w:p w14:paraId="4F1BA0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收入总表》</w:t>
      </w:r>
    </w:p>
    <w:p w14:paraId="7FB80AC7">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三、《</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支出总表》</w:t>
      </w:r>
    </w:p>
    <w:p w14:paraId="6790BA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四、《财政拨款收支总表》</w:t>
      </w:r>
    </w:p>
    <w:p w14:paraId="7B5003EF">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五、《一般公共预算支出表》</w:t>
      </w:r>
    </w:p>
    <w:p w14:paraId="32E26EFD">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六、《一般公共预算基本支出表》</w:t>
      </w:r>
    </w:p>
    <w:p w14:paraId="5C2C23A5">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七、《财政拨款“三公”经费支出表》</w:t>
      </w:r>
    </w:p>
    <w:p w14:paraId="2E25E71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八、《政府性基金预算支出表》</w:t>
      </w:r>
    </w:p>
    <w:p w14:paraId="07EE8523">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九、《国有资本经营预算支出表》</w:t>
      </w:r>
    </w:p>
    <w:p w14:paraId="0019BA7A">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十、《项目绩效目标表》</w:t>
      </w:r>
    </w:p>
    <w:p w14:paraId="2731E47A">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三</w:t>
      </w:r>
      <w:r>
        <w:rPr>
          <w:rFonts w:hint="eastAsia" w:ascii="黑体" w:hAnsi="黑体" w:eastAsia="黑体" w:cs="黑体"/>
          <w:b/>
          <w:bCs/>
          <w:color w:val="000000"/>
          <w:sz w:val="32"/>
          <w:szCs w:val="32"/>
        </w:rPr>
        <w:t xml:space="preserve">部分  </w:t>
      </w:r>
      <w:r>
        <w:rPr>
          <w:rFonts w:hint="eastAsia" w:ascii="黑体" w:hAnsi="黑体" w:eastAsia="黑体" w:cs="黑体"/>
          <w:b/>
          <w:bCs/>
          <w:color w:val="000000"/>
          <w:sz w:val="32"/>
          <w:szCs w:val="32"/>
          <w:lang w:eastAsia="zh-CN"/>
        </w:rPr>
        <w:t>景德镇市交通运输事业发展中心2025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预算情况说明</w:t>
      </w:r>
    </w:p>
    <w:p w14:paraId="19B1535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预算收支情况说明</w:t>
      </w:r>
    </w:p>
    <w:p w14:paraId="7EC2206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年“三公”经费预算情况说明</w:t>
      </w:r>
    </w:p>
    <w:p w14:paraId="5C2F663F">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第四部分  名词解释</w:t>
      </w:r>
    </w:p>
    <w:p w14:paraId="20086EDD">
      <w:pPr>
        <w:rPr>
          <w:rFonts w:hint="eastAsia" w:ascii="黑体" w:hAnsi="黑体" w:eastAsia="黑体" w:cs="黑体"/>
          <w:b/>
          <w:bCs/>
          <w:color w:val="000000"/>
          <w:sz w:val="32"/>
          <w:szCs w:val="32"/>
        </w:rPr>
      </w:pPr>
      <w:r>
        <w:rPr>
          <w:rFonts w:hint="eastAsia" w:ascii="黑体" w:hAnsi="黑体" w:eastAsia="黑体" w:cs="黑体"/>
          <w:b/>
          <w:bCs/>
          <w:color w:val="000000"/>
          <w:sz w:val="32"/>
          <w:szCs w:val="32"/>
        </w:rPr>
        <w:br w:type="page"/>
      </w:r>
    </w:p>
    <w:p w14:paraId="61D28DE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 xml:space="preserve">第一部分  </w:t>
      </w:r>
      <w:r>
        <w:rPr>
          <w:rFonts w:hint="eastAsia" w:ascii="方正小标宋简体" w:hAnsi="方正小标宋简体" w:eastAsia="方正小标宋简体" w:cs="方正小标宋简体"/>
          <w:b/>
          <w:sz w:val="32"/>
          <w:szCs w:val="30"/>
          <w:lang w:eastAsia="zh-CN"/>
        </w:rPr>
        <w:t>景德镇市交通运输事业发展中心</w:t>
      </w:r>
      <w:r>
        <w:rPr>
          <w:rFonts w:hint="eastAsia" w:ascii="方正小标宋简体" w:hAnsi="方正小标宋简体" w:eastAsia="方正小标宋简体" w:cs="方正小标宋简体"/>
          <w:b/>
          <w:sz w:val="32"/>
          <w:szCs w:val="30"/>
        </w:rPr>
        <w:t>概况</w:t>
      </w:r>
    </w:p>
    <w:p w14:paraId="048B803D">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Theme="minorEastAsia" w:hAnsiTheme="minorEastAsia"/>
          <w:b/>
          <w:sz w:val="36"/>
          <w:szCs w:val="36"/>
        </w:rPr>
      </w:pPr>
    </w:p>
    <w:p w14:paraId="02691211">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黑体" w:hAnsi="黑体" w:eastAsia="黑体" w:cs="黑体"/>
          <w:b/>
          <w:sz w:val="32"/>
          <w:szCs w:val="32"/>
        </w:rPr>
      </w:pPr>
      <w:r>
        <w:rPr>
          <w:rFonts w:hint="eastAsia" w:ascii="黑体" w:hAnsi="黑体" w:eastAsia="黑体" w:cs="黑体"/>
          <w:b/>
          <w:sz w:val="32"/>
          <w:szCs w:val="32"/>
        </w:rPr>
        <w:t>一、</w:t>
      </w:r>
      <w:r>
        <w:rPr>
          <w:rFonts w:hint="eastAsia" w:ascii="黑体" w:hAnsi="黑体" w:eastAsia="黑体" w:cs="黑体"/>
          <w:b/>
          <w:sz w:val="32"/>
          <w:szCs w:val="32"/>
          <w:lang w:eastAsia="zh-CN"/>
        </w:rPr>
        <w:t>单位</w:t>
      </w:r>
      <w:r>
        <w:rPr>
          <w:rFonts w:hint="eastAsia" w:ascii="黑体" w:hAnsi="黑体" w:eastAsia="黑体" w:cs="黑体"/>
          <w:b/>
          <w:sz w:val="32"/>
          <w:szCs w:val="32"/>
        </w:rPr>
        <w:t>主要职责</w:t>
      </w:r>
    </w:p>
    <w:p w14:paraId="75E3817B">
      <w:pPr>
        <w:ind w:firstLine="640" w:firstLineChars="200"/>
        <w:rPr>
          <w:rFonts w:hint="eastAsia" w:ascii="仿宋_GB2312" w:hAnsi="仿宋_GB2312" w:eastAsia="仿宋_GB2312"/>
          <w:sz w:val="32"/>
          <w:szCs w:val="32"/>
        </w:rPr>
      </w:pPr>
      <w:r>
        <w:rPr>
          <w:rFonts w:hint="eastAsia" w:ascii="仿宋_GB2312" w:hAnsi="仿宋" w:eastAsia="仿宋_GB2312" w:cs="Times New Roman"/>
          <w:kern w:val="2"/>
          <w:sz w:val="32"/>
          <w:szCs w:val="32"/>
          <w:lang w:val="en-US" w:eastAsia="zh-CN" w:bidi="ar-SA"/>
        </w:rPr>
        <w:t>主要职责是：负责全市道路客运、货运物流、城市客运、机动车维修、机动车驾驶员培训、水路运输、港口、航道、船舶检验、公路水运工程质量监督及普通公路（农村公路）等行业管理的事务性工作。</w:t>
      </w:r>
    </w:p>
    <w:p w14:paraId="66D5DF9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0000FF"/>
          <w:kern w:val="2"/>
          <w:sz w:val="32"/>
          <w:szCs w:val="30"/>
          <w:lang w:val="en-US" w:eastAsia="zh-CN" w:bidi="ar-SA"/>
        </w:rPr>
      </w:pPr>
    </w:p>
    <w:p w14:paraId="3B9670B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黑体" w:hAnsi="黑体" w:eastAsia="黑体" w:cs="黑体"/>
          <w:b/>
          <w:sz w:val="32"/>
          <w:szCs w:val="32"/>
        </w:rPr>
      </w:pPr>
      <w:r>
        <w:rPr>
          <w:rFonts w:hint="eastAsia" w:ascii="黑体" w:hAnsi="黑体" w:eastAsia="黑体" w:cs="黑体"/>
          <w:b/>
          <w:sz w:val="32"/>
          <w:szCs w:val="32"/>
        </w:rPr>
        <w:t>二、机构设置及人员情况</w:t>
      </w:r>
    </w:p>
    <w:p w14:paraId="07C4793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2025年景德镇市交通运输事业发展中心设立 1个内设机构，内设科室10个，分别是：办公室、港口航运服务科、科技安全科 、农村公路科、货运物流科、财务审计科、道路客运科、城市客运科、机动车服务科、办证大厅 。</w:t>
      </w:r>
    </w:p>
    <w:p w14:paraId="71D2982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color w:val="0000FF"/>
        </w:rPr>
      </w:pPr>
      <w:r>
        <w:rPr>
          <w:rFonts w:hint="eastAsia" w:ascii="仿宋_GB2312" w:hAnsi="仿宋_GB2312" w:eastAsia="仿宋_GB2312" w:cs="仿宋_GB2312"/>
          <w:kern w:val="2"/>
          <w:sz w:val="32"/>
          <w:szCs w:val="30"/>
          <w:lang w:val="en-US" w:eastAsia="zh-CN" w:bidi="ar-SA"/>
        </w:rPr>
        <w:t>编制数为39人，本单位年末在职人员37人，离退休人员0人（不含由养老保险基金发放养老金的离退休人员），其他人员0人。由养老保险基金发放养老金的退休人员34人，聘用人员4人，遗属1人。</w:t>
      </w:r>
    </w:p>
    <w:p w14:paraId="3377245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0000FF"/>
          <w:kern w:val="2"/>
          <w:sz w:val="32"/>
          <w:szCs w:val="30"/>
          <w:lang w:val="en-US" w:eastAsia="zh-CN" w:bidi="ar-SA"/>
        </w:rPr>
      </w:pPr>
    </w:p>
    <w:p w14:paraId="578EE7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1BBD33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76B8DC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0FE3CE3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AA3C42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170213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69100B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4F31088">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二</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景德镇市交通运输事业发展中心</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预算表</w:t>
      </w:r>
    </w:p>
    <w:p w14:paraId="0A8406F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anchor distT="0" distB="0" distL="114300" distR="114300" simplePos="0" relativeHeight="251659264" behindDoc="1" locked="0" layoutInCell="1" allowOverlap="1">
            <wp:simplePos x="0" y="0"/>
            <wp:positionH relativeFrom="column">
              <wp:posOffset>201930</wp:posOffset>
            </wp:positionH>
            <wp:positionV relativeFrom="paragraph">
              <wp:posOffset>160655</wp:posOffset>
            </wp:positionV>
            <wp:extent cx="5265420" cy="5652135"/>
            <wp:effectExtent l="0" t="0" r="11430" b="5715"/>
            <wp:wrapTight wrapText="bothSides">
              <wp:wrapPolygon>
                <wp:start x="0" y="0"/>
                <wp:lineTo x="0" y="21549"/>
                <wp:lineTo x="21491" y="21549"/>
                <wp:lineTo x="21491" y="0"/>
                <wp:lineTo x="0" y="0"/>
              </wp:wrapPolygon>
            </wp:wrapTight>
            <wp:docPr id="2" name="图片 2" descr="174003416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40034164109"/>
                    <pic:cNvPicPr>
                      <a:picLocks noChangeAspect="1"/>
                    </pic:cNvPicPr>
                  </pic:nvPicPr>
                  <pic:blipFill>
                    <a:blip r:embed="rId5"/>
                    <a:stretch>
                      <a:fillRect/>
                    </a:stretch>
                  </pic:blipFill>
                  <pic:spPr>
                    <a:xfrm>
                      <a:off x="0" y="0"/>
                      <a:ext cx="5265420" cy="5652135"/>
                    </a:xfrm>
                    <a:prstGeom prst="rect">
                      <a:avLst/>
                    </a:prstGeom>
                  </pic:spPr>
                </pic:pic>
              </a:graphicData>
            </a:graphic>
          </wp:anchor>
        </w:drawing>
      </w:r>
    </w:p>
    <w:p w14:paraId="5CEAFF9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902B3F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BEE8D2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67FDF9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3C577E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anchor distT="0" distB="0" distL="114300" distR="114300" simplePos="0" relativeHeight="251660288" behindDoc="0" locked="0" layoutInCell="1" allowOverlap="1">
            <wp:simplePos x="0" y="0"/>
            <wp:positionH relativeFrom="column">
              <wp:posOffset>66040</wp:posOffset>
            </wp:positionH>
            <wp:positionV relativeFrom="paragraph">
              <wp:posOffset>106045</wp:posOffset>
            </wp:positionV>
            <wp:extent cx="5264785" cy="2736850"/>
            <wp:effectExtent l="0" t="0" r="12065" b="6350"/>
            <wp:wrapSquare wrapText="bothSides"/>
            <wp:docPr id="3" name="图片 3" descr="174003417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40034171889"/>
                    <pic:cNvPicPr>
                      <a:picLocks noChangeAspect="1"/>
                    </pic:cNvPicPr>
                  </pic:nvPicPr>
                  <pic:blipFill>
                    <a:blip r:embed="rId6"/>
                    <a:stretch>
                      <a:fillRect/>
                    </a:stretch>
                  </pic:blipFill>
                  <pic:spPr>
                    <a:xfrm>
                      <a:off x="0" y="0"/>
                      <a:ext cx="5264785" cy="2736850"/>
                    </a:xfrm>
                    <a:prstGeom prst="rect">
                      <a:avLst/>
                    </a:prstGeom>
                  </pic:spPr>
                </pic:pic>
              </a:graphicData>
            </a:graphic>
          </wp:anchor>
        </w:drawing>
      </w:r>
    </w:p>
    <w:p w14:paraId="59E7BC2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7176A15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7ECD0C1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735079D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C96EB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2FD9539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3398F50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172E4D6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DAFA14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83CCD4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4E02329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183027F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33CC81D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B05D3F0">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kern w:val="2"/>
          <w:sz w:val="32"/>
          <w:szCs w:val="30"/>
          <w:lang w:val="en-US" w:eastAsia="zh-CN" w:bidi="ar-SA"/>
        </w:rPr>
      </w:pPr>
    </w:p>
    <w:p w14:paraId="43FD0336">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kern w:val="2"/>
          <w:sz w:val="32"/>
          <w:szCs w:val="30"/>
          <w:lang w:val="en-US" w:eastAsia="zh-CN" w:bidi="ar-SA"/>
        </w:rPr>
      </w:pPr>
    </w:p>
    <w:p w14:paraId="6A69C6C6">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74310" cy="4131310"/>
            <wp:effectExtent l="0" t="0" r="2540" b="2540"/>
            <wp:docPr id="4" name="图片 4" descr="174003417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40034177564"/>
                    <pic:cNvPicPr>
                      <a:picLocks noChangeAspect="1"/>
                    </pic:cNvPicPr>
                  </pic:nvPicPr>
                  <pic:blipFill>
                    <a:blip r:embed="rId7"/>
                    <a:stretch>
                      <a:fillRect/>
                    </a:stretch>
                  </pic:blipFill>
                  <pic:spPr>
                    <a:xfrm>
                      <a:off x="0" y="0"/>
                      <a:ext cx="5274310" cy="4131310"/>
                    </a:xfrm>
                    <a:prstGeom prst="rect">
                      <a:avLst/>
                    </a:prstGeom>
                  </pic:spPr>
                </pic:pic>
              </a:graphicData>
            </a:graphic>
          </wp:inline>
        </w:drawing>
      </w:r>
    </w:p>
    <w:p w14:paraId="0469D032">
      <w:pPr>
        <w:rPr>
          <w:rFonts w:hint="eastAsia" w:ascii="仿宋_GB2312" w:hAnsi="仿宋_GB2312" w:eastAsia="仿宋_GB2312" w:cs="仿宋_GB2312"/>
          <w:kern w:val="2"/>
          <w:sz w:val="32"/>
          <w:szCs w:val="30"/>
          <w:lang w:val="en-US" w:eastAsia="zh-CN" w:bidi="ar-SA"/>
        </w:rPr>
      </w:pPr>
    </w:p>
    <w:p w14:paraId="10CC8462">
      <w:pPr>
        <w:rPr>
          <w:rFonts w:hint="eastAsia" w:ascii="仿宋_GB2312" w:hAnsi="仿宋_GB2312" w:eastAsia="仿宋_GB2312" w:cs="仿宋_GB2312"/>
          <w:kern w:val="2"/>
          <w:sz w:val="32"/>
          <w:szCs w:val="30"/>
          <w:lang w:val="en-US" w:eastAsia="zh-CN" w:bidi="ar-SA"/>
        </w:rPr>
      </w:pPr>
    </w:p>
    <w:p w14:paraId="76D9B816">
      <w:pPr>
        <w:rPr>
          <w:rFonts w:hint="eastAsia" w:ascii="仿宋_GB2312" w:hAnsi="仿宋_GB2312" w:eastAsia="仿宋_GB2312" w:cs="仿宋_GB2312"/>
          <w:kern w:val="2"/>
          <w:sz w:val="32"/>
          <w:szCs w:val="30"/>
          <w:lang w:val="en-US" w:eastAsia="zh-CN" w:bidi="ar-SA"/>
        </w:rPr>
      </w:pPr>
    </w:p>
    <w:p w14:paraId="13350641">
      <w:pPr>
        <w:rPr>
          <w:rFonts w:hint="eastAsia" w:ascii="仿宋_GB2312" w:hAnsi="仿宋_GB2312" w:eastAsia="仿宋_GB2312" w:cs="仿宋_GB2312"/>
          <w:kern w:val="2"/>
          <w:sz w:val="32"/>
          <w:szCs w:val="30"/>
          <w:lang w:val="en-US" w:eastAsia="zh-CN" w:bidi="ar-SA"/>
        </w:rPr>
      </w:pPr>
    </w:p>
    <w:p w14:paraId="00115FCD">
      <w:pPr>
        <w:rPr>
          <w:rFonts w:hint="eastAsia" w:ascii="仿宋_GB2312" w:hAnsi="仿宋_GB2312" w:eastAsia="仿宋_GB2312" w:cs="仿宋_GB2312"/>
          <w:kern w:val="2"/>
          <w:sz w:val="32"/>
          <w:szCs w:val="30"/>
          <w:lang w:val="en-US" w:eastAsia="zh-CN" w:bidi="ar-SA"/>
        </w:rPr>
      </w:pPr>
    </w:p>
    <w:p w14:paraId="1AB5A051">
      <w:pPr>
        <w:rPr>
          <w:rFonts w:hint="eastAsia" w:ascii="仿宋_GB2312" w:hAnsi="仿宋_GB2312" w:eastAsia="仿宋_GB2312" w:cs="仿宋_GB2312"/>
          <w:kern w:val="2"/>
          <w:sz w:val="32"/>
          <w:szCs w:val="30"/>
          <w:lang w:val="en-US" w:eastAsia="zh-CN" w:bidi="ar-SA"/>
        </w:rPr>
      </w:pPr>
    </w:p>
    <w:p w14:paraId="765969BE">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67325" cy="5275580"/>
            <wp:effectExtent l="0" t="0" r="9525" b="1270"/>
            <wp:docPr id="5" name="图片 5" descr="174003418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40034184199"/>
                    <pic:cNvPicPr>
                      <a:picLocks noChangeAspect="1"/>
                    </pic:cNvPicPr>
                  </pic:nvPicPr>
                  <pic:blipFill>
                    <a:blip r:embed="rId8"/>
                    <a:stretch>
                      <a:fillRect/>
                    </a:stretch>
                  </pic:blipFill>
                  <pic:spPr>
                    <a:xfrm>
                      <a:off x="0" y="0"/>
                      <a:ext cx="5267325" cy="527558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9865" cy="4057015"/>
            <wp:effectExtent l="0" t="0" r="6985" b="635"/>
            <wp:docPr id="6" name="图片 6" descr="1740034190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40034190908"/>
                    <pic:cNvPicPr>
                      <a:picLocks noChangeAspect="1"/>
                    </pic:cNvPicPr>
                  </pic:nvPicPr>
                  <pic:blipFill>
                    <a:blip r:embed="rId9"/>
                    <a:stretch>
                      <a:fillRect/>
                    </a:stretch>
                  </pic:blipFill>
                  <pic:spPr>
                    <a:xfrm>
                      <a:off x="0" y="0"/>
                      <a:ext cx="5269865" cy="405701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65420" cy="5927090"/>
            <wp:effectExtent l="0" t="0" r="11430" b="16510"/>
            <wp:docPr id="7" name="图片 7" descr="1740034197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40034197027"/>
                    <pic:cNvPicPr>
                      <a:picLocks noChangeAspect="1"/>
                    </pic:cNvPicPr>
                  </pic:nvPicPr>
                  <pic:blipFill>
                    <a:blip r:embed="rId10"/>
                    <a:stretch>
                      <a:fillRect/>
                    </a:stretch>
                  </pic:blipFill>
                  <pic:spPr>
                    <a:xfrm>
                      <a:off x="0" y="0"/>
                      <a:ext cx="5265420" cy="5927090"/>
                    </a:xfrm>
                    <a:prstGeom prst="rect">
                      <a:avLst/>
                    </a:prstGeom>
                  </pic:spPr>
                </pic:pic>
              </a:graphicData>
            </a:graphic>
          </wp:inline>
        </w:drawing>
      </w:r>
    </w:p>
    <w:p w14:paraId="683A032E">
      <w:pPr>
        <w:rPr>
          <w:rFonts w:hint="eastAsia" w:ascii="仿宋_GB2312" w:hAnsi="仿宋_GB2312" w:eastAsia="仿宋_GB2312" w:cs="仿宋_GB2312"/>
          <w:kern w:val="2"/>
          <w:sz w:val="32"/>
          <w:szCs w:val="30"/>
          <w:lang w:val="en-US" w:eastAsia="zh-CN" w:bidi="ar-SA"/>
        </w:rPr>
      </w:pPr>
    </w:p>
    <w:p w14:paraId="44F2EE69">
      <w:pPr>
        <w:rPr>
          <w:rFonts w:hint="eastAsia" w:ascii="仿宋_GB2312" w:hAnsi="仿宋_GB2312" w:eastAsia="仿宋_GB2312" w:cs="仿宋_GB2312"/>
          <w:kern w:val="2"/>
          <w:sz w:val="32"/>
          <w:szCs w:val="30"/>
          <w:lang w:val="en-US" w:eastAsia="zh-CN" w:bidi="ar-SA"/>
        </w:rPr>
      </w:pPr>
    </w:p>
    <w:p w14:paraId="4B6DA7C7">
      <w:pPr>
        <w:rPr>
          <w:rFonts w:hint="eastAsia" w:ascii="仿宋_GB2312" w:hAnsi="仿宋_GB2312" w:eastAsia="仿宋_GB2312" w:cs="仿宋_GB2312"/>
          <w:kern w:val="2"/>
          <w:sz w:val="32"/>
          <w:szCs w:val="30"/>
          <w:lang w:val="en-US" w:eastAsia="zh-CN" w:bidi="ar-SA"/>
        </w:rPr>
      </w:pPr>
    </w:p>
    <w:p w14:paraId="72BB5323">
      <w:pPr>
        <w:rPr>
          <w:rFonts w:hint="eastAsia" w:ascii="仿宋_GB2312" w:hAnsi="仿宋_GB2312" w:eastAsia="仿宋_GB2312" w:cs="仿宋_GB2312"/>
          <w:kern w:val="2"/>
          <w:sz w:val="32"/>
          <w:szCs w:val="30"/>
          <w:lang w:val="en-US" w:eastAsia="zh-CN" w:bidi="ar-SA"/>
        </w:rPr>
      </w:pPr>
    </w:p>
    <w:p w14:paraId="72615044">
      <w:pPr>
        <w:rPr>
          <w:rFonts w:hint="eastAsia" w:ascii="仿宋_GB2312" w:hAnsi="仿宋_GB2312" w:eastAsia="仿宋_GB2312" w:cs="仿宋_GB2312"/>
          <w:kern w:val="2"/>
          <w:sz w:val="32"/>
          <w:szCs w:val="30"/>
          <w:lang w:val="en-US" w:eastAsia="zh-CN" w:bidi="ar-SA"/>
        </w:rPr>
      </w:pPr>
    </w:p>
    <w:p w14:paraId="499E50D5">
      <w:pPr>
        <w:rPr>
          <w:rFonts w:hint="eastAsia" w:ascii="仿宋_GB2312" w:hAnsi="仿宋_GB2312" w:eastAsia="仿宋_GB2312" w:cs="仿宋_GB2312"/>
          <w:kern w:val="2"/>
          <w:sz w:val="32"/>
          <w:szCs w:val="30"/>
          <w:lang w:val="en-US" w:eastAsia="zh-CN" w:bidi="ar-SA"/>
        </w:rPr>
      </w:pPr>
    </w:p>
    <w:p w14:paraId="1F4AE132">
      <w:pPr>
        <w:rPr>
          <w:rFonts w:hint="eastAsia" w:ascii="仿宋_GB2312" w:hAnsi="仿宋_GB2312" w:eastAsia="仿宋_GB2312" w:cs="仿宋_GB2312"/>
          <w:kern w:val="2"/>
          <w:sz w:val="32"/>
          <w:szCs w:val="30"/>
          <w:lang w:val="en-US" w:eastAsia="zh-CN" w:bidi="ar-SA"/>
        </w:rPr>
      </w:pPr>
    </w:p>
    <w:p w14:paraId="19C4A459">
      <w:pPr>
        <w:rPr>
          <w:rFonts w:hint="eastAsia" w:ascii="仿宋_GB2312" w:hAnsi="仿宋_GB2312" w:eastAsia="仿宋_GB2312" w:cs="仿宋_GB2312"/>
          <w:kern w:val="2"/>
          <w:sz w:val="32"/>
          <w:szCs w:val="30"/>
          <w:lang w:val="en-US" w:eastAsia="zh-CN" w:bidi="ar-SA"/>
        </w:rPr>
      </w:pPr>
    </w:p>
    <w:p w14:paraId="71BB9FBF">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67960" cy="894080"/>
            <wp:effectExtent l="0" t="0" r="8890" b="1270"/>
            <wp:docPr id="8" name="图片 8" descr="174003420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740034202837"/>
                    <pic:cNvPicPr>
                      <a:picLocks noChangeAspect="1"/>
                    </pic:cNvPicPr>
                  </pic:nvPicPr>
                  <pic:blipFill>
                    <a:blip r:embed="rId11"/>
                    <a:stretch>
                      <a:fillRect/>
                    </a:stretch>
                  </pic:blipFill>
                  <pic:spPr>
                    <a:xfrm>
                      <a:off x="0" y="0"/>
                      <a:ext cx="5267960" cy="894080"/>
                    </a:xfrm>
                    <a:prstGeom prst="rect">
                      <a:avLst/>
                    </a:prstGeom>
                  </pic:spPr>
                </pic:pic>
              </a:graphicData>
            </a:graphic>
          </wp:inline>
        </w:drawing>
      </w:r>
    </w:p>
    <w:p w14:paraId="20E331A2">
      <w:pPr>
        <w:rPr>
          <w:rFonts w:hint="eastAsia" w:ascii="仿宋_GB2312" w:hAnsi="仿宋_GB2312" w:eastAsia="仿宋_GB2312" w:cs="仿宋_GB2312"/>
          <w:kern w:val="2"/>
          <w:sz w:val="32"/>
          <w:szCs w:val="30"/>
          <w:lang w:val="en-US" w:eastAsia="zh-CN" w:bidi="ar-SA"/>
        </w:rPr>
      </w:pPr>
    </w:p>
    <w:p w14:paraId="4AF616AD">
      <w:pPr>
        <w:rPr>
          <w:rFonts w:hint="eastAsia" w:ascii="仿宋_GB2312" w:hAnsi="仿宋_GB2312" w:eastAsia="仿宋_GB2312" w:cs="仿宋_GB2312"/>
          <w:kern w:val="2"/>
          <w:sz w:val="32"/>
          <w:szCs w:val="30"/>
          <w:lang w:val="en-US" w:eastAsia="zh-CN" w:bidi="ar-SA"/>
        </w:rPr>
      </w:pPr>
    </w:p>
    <w:p w14:paraId="6E9B6EAE">
      <w:pPr>
        <w:rPr>
          <w:rFonts w:hint="eastAsia" w:ascii="仿宋_GB2312" w:hAnsi="仿宋_GB2312" w:eastAsia="仿宋_GB2312" w:cs="仿宋_GB2312"/>
          <w:kern w:val="2"/>
          <w:sz w:val="32"/>
          <w:szCs w:val="30"/>
          <w:lang w:val="en-US" w:eastAsia="zh-CN" w:bidi="ar-SA"/>
        </w:rPr>
      </w:pPr>
    </w:p>
    <w:p w14:paraId="2F3335C6">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67325" cy="1050290"/>
            <wp:effectExtent l="0" t="0" r="9525" b="16510"/>
            <wp:docPr id="9" name="图片 9" descr="1740034207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40034207431"/>
                    <pic:cNvPicPr>
                      <a:picLocks noChangeAspect="1"/>
                    </pic:cNvPicPr>
                  </pic:nvPicPr>
                  <pic:blipFill>
                    <a:blip r:embed="rId12"/>
                    <a:stretch>
                      <a:fillRect/>
                    </a:stretch>
                  </pic:blipFill>
                  <pic:spPr>
                    <a:xfrm>
                      <a:off x="0" y="0"/>
                      <a:ext cx="5267325" cy="1050290"/>
                    </a:xfrm>
                    <a:prstGeom prst="rect">
                      <a:avLst/>
                    </a:prstGeom>
                  </pic:spPr>
                </pic:pic>
              </a:graphicData>
            </a:graphic>
          </wp:inline>
        </w:drawing>
      </w:r>
    </w:p>
    <w:p w14:paraId="5674998A">
      <w:pPr>
        <w:rPr>
          <w:rFonts w:hint="eastAsia" w:ascii="仿宋_GB2312" w:hAnsi="仿宋_GB2312" w:eastAsia="仿宋_GB2312" w:cs="仿宋_GB2312"/>
          <w:kern w:val="2"/>
          <w:sz w:val="32"/>
          <w:szCs w:val="30"/>
          <w:lang w:val="en-US" w:eastAsia="zh-CN" w:bidi="ar-SA"/>
        </w:rPr>
      </w:pPr>
    </w:p>
    <w:p w14:paraId="5F34A135">
      <w:pPr>
        <w:rPr>
          <w:rFonts w:hint="eastAsia" w:ascii="仿宋_GB2312" w:hAnsi="仿宋_GB2312" w:eastAsia="仿宋_GB2312" w:cs="仿宋_GB2312"/>
          <w:kern w:val="2"/>
          <w:sz w:val="32"/>
          <w:szCs w:val="30"/>
          <w:lang w:val="en-US" w:eastAsia="zh-CN" w:bidi="ar-SA"/>
        </w:rPr>
      </w:pPr>
    </w:p>
    <w:p w14:paraId="033A7B38">
      <w:pPr>
        <w:rPr>
          <w:rFonts w:hint="eastAsia" w:ascii="仿宋_GB2312" w:hAnsi="仿宋_GB2312" w:eastAsia="仿宋_GB2312" w:cs="仿宋_GB2312"/>
          <w:kern w:val="2"/>
          <w:sz w:val="32"/>
          <w:szCs w:val="30"/>
          <w:lang w:val="en-US" w:eastAsia="zh-CN" w:bidi="ar-SA"/>
        </w:rPr>
      </w:pPr>
    </w:p>
    <w:p w14:paraId="25595BC1">
      <w:pPr>
        <w:rPr>
          <w:rFonts w:hint="eastAsia" w:ascii="仿宋_GB2312" w:hAnsi="仿宋_GB2312" w:eastAsia="仿宋_GB2312" w:cs="仿宋_GB2312"/>
          <w:kern w:val="2"/>
          <w:sz w:val="32"/>
          <w:szCs w:val="30"/>
          <w:lang w:val="en-US" w:eastAsia="zh-CN" w:bidi="ar-SA"/>
        </w:rPr>
      </w:pPr>
    </w:p>
    <w:p w14:paraId="7D3AFF2E">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drawing>
          <wp:inline distT="0" distB="0" distL="114300" distR="114300">
            <wp:extent cx="5267325" cy="991870"/>
            <wp:effectExtent l="0" t="0" r="9525" b="17780"/>
            <wp:docPr id="10" name="图片 10" descr="174003421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40034212176"/>
                    <pic:cNvPicPr>
                      <a:picLocks noChangeAspect="1"/>
                    </pic:cNvPicPr>
                  </pic:nvPicPr>
                  <pic:blipFill>
                    <a:blip r:embed="rId13"/>
                    <a:stretch>
                      <a:fillRect/>
                    </a:stretch>
                  </pic:blipFill>
                  <pic:spPr>
                    <a:xfrm>
                      <a:off x="0" y="0"/>
                      <a:ext cx="5267325" cy="99187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274310" cy="7966075"/>
            <wp:effectExtent l="0" t="0" r="2540" b="15875"/>
            <wp:docPr id="11" name="图片 11" descr="174003434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40034345751"/>
                    <pic:cNvPicPr>
                      <a:picLocks noChangeAspect="1"/>
                    </pic:cNvPicPr>
                  </pic:nvPicPr>
                  <pic:blipFill>
                    <a:blip r:embed="rId14"/>
                    <a:stretch>
                      <a:fillRect/>
                    </a:stretch>
                  </pic:blipFill>
                  <pic:spPr>
                    <a:xfrm>
                      <a:off x="0" y="0"/>
                      <a:ext cx="5274310" cy="7966075"/>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drawing>
          <wp:inline distT="0" distB="0" distL="114300" distR="114300">
            <wp:extent cx="5120640" cy="8854440"/>
            <wp:effectExtent l="0" t="0" r="3810" b="3810"/>
            <wp:docPr id="12" name="图片 12" descr="174003435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40034353823"/>
                    <pic:cNvPicPr>
                      <a:picLocks noChangeAspect="1"/>
                    </pic:cNvPicPr>
                  </pic:nvPicPr>
                  <pic:blipFill>
                    <a:blip r:embed="rId15"/>
                    <a:stretch>
                      <a:fillRect/>
                    </a:stretch>
                  </pic:blipFill>
                  <pic:spPr>
                    <a:xfrm>
                      <a:off x="0" y="0"/>
                      <a:ext cx="5120640" cy="8854440"/>
                    </a:xfrm>
                    <a:prstGeom prst="rect">
                      <a:avLst/>
                    </a:prstGeom>
                  </pic:spPr>
                </pic:pic>
              </a:graphicData>
            </a:graphic>
          </wp:inline>
        </w:drawing>
      </w:r>
      <w:r>
        <w:rPr>
          <w:rFonts w:hint="eastAsia" w:ascii="仿宋_GB2312" w:hAnsi="仿宋_GB2312" w:eastAsia="仿宋_GB2312" w:cs="仿宋_GB2312"/>
          <w:kern w:val="2"/>
          <w:sz w:val="32"/>
          <w:szCs w:val="30"/>
          <w:lang w:val="en-US" w:eastAsia="zh-CN" w:bidi="ar-SA"/>
        </w:rPr>
        <w:br w:type="page"/>
      </w:r>
    </w:p>
    <w:p w14:paraId="36C3D6F9">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w:t>
      </w:r>
      <w:r>
        <w:rPr>
          <w:rFonts w:hint="eastAsia" w:ascii="方正小标宋简体" w:hAnsi="方正小标宋简体" w:eastAsia="方正小标宋简体" w:cs="方正小标宋简体"/>
          <w:b/>
          <w:sz w:val="32"/>
          <w:szCs w:val="30"/>
          <w:lang w:val="en-US" w:eastAsia="zh-CN"/>
        </w:rPr>
        <w:t>三</w:t>
      </w:r>
      <w:r>
        <w:rPr>
          <w:rFonts w:hint="eastAsia" w:ascii="方正小标宋简体" w:hAnsi="方正小标宋简体" w:eastAsia="方正小标宋简体" w:cs="方正小标宋简体"/>
          <w:b/>
          <w:sz w:val="32"/>
          <w:szCs w:val="30"/>
        </w:rPr>
        <w:t xml:space="preserve">部分  </w:t>
      </w:r>
      <w:r>
        <w:rPr>
          <w:rFonts w:hint="eastAsia" w:ascii="方正小标宋简体" w:hAnsi="方正小标宋简体" w:eastAsia="方正小标宋简体" w:cs="方正小标宋简体"/>
          <w:b/>
          <w:sz w:val="32"/>
          <w:szCs w:val="30"/>
        </w:rPr>
        <w:fldChar w:fldCharType="begin"/>
      </w:r>
      <w:r>
        <w:rPr>
          <w:rFonts w:hint="eastAsia" w:ascii="方正小标宋简体" w:hAnsi="方正小标宋简体" w:eastAsia="方正小标宋简体" w:cs="方正小标宋简体"/>
          <w:b/>
          <w:sz w:val="32"/>
          <w:szCs w:val="30"/>
        </w:rPr>
        <w:instrText xml:space="preserve">MERGEFIELD ${page400644146.ds509943833_REP_JXJC_AGENCY_WZR_NAME}</w:instrText>
      </w:r>
      <w:r>
        <w:rPr>
          <w:rFonts w:hint="eastAsia" w:ascii="方正小标宋简体" w:hAnsi="方正小标宋简体" w:eastAsia="方正小标宋简体" w:cs="方正小标宋简体"/>
          <w:b/>
          <w:sz w:val="32"/>
          <w:szCs w:val="30"/>
        </w:rPr>
        <w:fldChar w:fldCharType="separate"/>
      </w:r>
      <w:r>
        <w:rPr>
          <w:rFonts w:hint="eastAsia" w:ascii="方正小标宋简体" w:hAnsi="方正小标宋简体" w:eastAsia="方正小标宋简体" w:cs="方正小标宋简体"/>
          <w:b/>
          <w:sz w:val="32"/>
          <w:szCs w:val="30"/>
          <w:lang w:eastAsia="zh-CN"/>
        </w:rPr>
        <w:t>景德镇市交通运输事业发展中心</w:t>
      </w:r>
      <w:r>
        <w:rPr>
          <w:rFonts w:hint="eastAsia" w:ascii="方正小标宋简体" w:hAnsi="方正小标宋简体" w:eastAsia="方正小标宋简体" w:cs="方正小标宋简体"/>
          <w:b/>
          <w:sz w:val="32"/>
          <w:szCs w:val="30"/>
        </w:rPr>
        <w:fldChar w:fldCharType="end"/>
      </w: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预算情况说明</w:t>
      </w:r>
    </w:p>
    <w:p w14:paraId="710B155E">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仿宋_GB2312" w:eastAsia="仿宋_GB2312"/>
          <w:b/>
          <w:sz w:val="32"/>
          <w:szCs w:val="30"/>
        </w:rPr>
      </w:pPr>
    </w:p>
    <w:p w14:paraId="27A66DE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一、</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单位</w:t>
      </w:r>
      <w:r>
        <w:rPr>
          <w:rFonts w:hint="eastAsia" w:ascii="黑体" w:hAnsi="黑体" w:eastAsia="黑体" w:cs="黑体"/>
          <w:b/>
          <w:sz w:val="32"/>
          <w:szCs w:val="32"/>
        </w:rPr>
        <w:t>预算收支情况说明</w:t>
      </w:r>
    </w:p>
    <w:p w14:paraId="0BBF4E48">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ascii="Adobe 仿宋 Std R" w:hAnsi="Adobe 仿宋 Std R" w:eastAsia="Adobe 仿宋 Std R"/>
          <w:b/>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一</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收入预算情况</w:t>
      </w:r>
    </w:p>
    <w:p w14:paraId="7F064BC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事业发展中心收入预算总额为1225.63万元，较上年预算安排增加478.24万元，其中：财政拨款收入802.19万元，较上年预算安排增加59.8万元；上年结转（结余）423.44万元，较上年预算安排增加418.44万元。</w:t>
      </w:r>
    </w:p>
    <w:p w14:paraId="11FA335C">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二</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支出预算情况</w:t>
      </w:r>
    </w:p>
    <w:p w14:paraId="5DBD89A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2025年景德镇市交通运输事业发展中心支出预算总额为1225.63万元，较上年预算安排增加478.24万元；其中：</w:t>
      </w:r>
    </w:p>
    <w:p w14:paraId="30E8586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802.19万元，较上年预算安排增加54.8万元；其中：工资福利支出727.57万元，商品和服务支出66.11万元，对个人和家庭的补助3.99万元，资本性支出4.51万元。项目支出423.44万元，较上年预算安排增加423.44万元；其中：商品和服务支出423.44万元。</w:t>
      </w:r>
    </w:p>
    <w:p w14:paraId="5E324C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89.08万元，较上年预算安排增加8.43万元；卫生健康支出36万元，较上年预算安排增加3.4万元；交通运输支出625.11万元，较上年预算安排增加38.34万元；住房保障支出51.99万元，较上年预算安排增加4.62万元。</w:t>
      </w:r>
    </w:p>
    <w:p w14:paraId="3B739B4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经济分类划分：工资福利支出727.57万元，较上年预算安排增加53.46万元；商品和服务支出489.55万元，较上年预算安排增加425.15万元；对个人和家庭的补助3.99万元，较上年预算安排增加0.06万元；资本性支出4.51万元，较上年预算安排减少0.45万元。</w:t>
      </w:r>
    </w:p>
    <w:p w14:paraId="483E6D9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三</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财政拨款支出情况</w:t>
      </w:r>
    </w:p>
    <w:p w14:paraId="43144A4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2025年景德镇市交通运输事业发展中心财政拨款支出预算总额802.19万元，较上年预算安排增加59.8万元；</w:t>
      </w:r>
    </w:p>
    <w:p w14:paraId="3688A0B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按支出功能科目划分：社会保障和就业支出89.08万元，卫生健康支出36万元，交通运输支出625.11万元，住房保障支出51.99万元。</w:t>
      </w:r>
    </w:p>
    <w:p w14:paraId="1345E18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按支出项目类别划分：基本支出802.19万元，较上年预算安排增加59.8万元；其中：工资福利支出727.57万元，商品和服务支出66.11万元，对个人和家庭的补助3.99万元，资本性支出4.51万元。</w:t>
      </w:r>
    </w:p>
    <w:p w14:paraId="39BEAF3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四</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政府性基金情况</w:t>
      </w:r>
    </w:p>
    <w:p w14:paraId="6561669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本单位没有使用政府性基金预算拨款安排的支出。</w:t>
      </w:r>
    </w:p>
    <w:p w14:paraId="722DEFBD">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（五）国有资本经营情况</w:t>
      </w:r>
    </w:p>
    <w:p w14:paraId="246D4C2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本单位没有使用国有资本经营预算拨款安排的支出。</w:t>
      </w:r>
    </w:p>
    <w:p w14:paraId="7FD78BD3">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六</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机关运行经费等重要事项的说明</w:t>
      </w:r>
    </w:p>
    <w:p w14:paraId="7E3BA3D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0000FF"/>
          <w:kern w:val="2"/>
          <w:sz w:val="32"/>
          <w:szCs w:val="30"/>
          <w:lang w:val="en-US" w:eastAsia="zh-CN" w:bidi="ar-SA"/>
        </w:rPr>
      </w:pPr>
      <w:bookmarkStart w:id="0" w:name="_GoBack"/>
      <w:r>
        <w:rPr>
          <w:rFonts w:hint="eastAsia" w:ascii="仿宋_GB2312" w:hAnsi="仿宋_GB2312" w:eastAsia="仿宋_GB2312" w:cs="仿宋_GB2312"/>
          <w:kern w:val="2"/>
          <w:sz w:val="32"/>
          <w:szCs w:val="30"/>
          <w:lang w:val="en-US" w:eastAsia="zh-CN" w:bidi="ar-SA"/>
        </w:rPr>
        <w:t>2025年单位机关运行费预算66.11万元，较上年预算增加1.71万元，增长2.65%，主要原因是下半年入职2人经费增加。</w:t>
      </w:r>
      <w:bookmarkEnd w:id="0"/>
    </w:p>
    <w:p w14:paraId="60B9C0D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七</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政府采购情况</w:t>
      </w:r>
    </w:p>
    <w:p w14:paraId="72B4D51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2025年景德镇市交通运输事业发展中心单位所属各单位政府采购总额4.51万元，其中：政府采购货物预算4.51万元，政府采购工程预算0万元，政府采购服务预算0万元。</w:t>
      </w:r>
    </w:p>
    <w:p w14:paraId="16E98A45">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八</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国有资产占有使用情况</w:t>
      </w:r>
    </w:p>
    <w:p w14:paraId="1790D9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截至2024年8月31日，</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${page400644146.ds532982397_REP_JX_BAS_AGENCY_INFO_ZYFRS_S_CLSYS}</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单位共有车辆0辆；其中：一般业务用车实有数0辆，特殊业务用车实有数0辆，执法执勤用车实有数0辆。</w:t>
      </w:r>
      <w:r>
        <w:rPr>
          <w:rFonts w:hint="eastAsia" w:ascii="仿宋_GB2312" w:hAnsi="仿宋_GB2312" w:eastAsia="仿宋_GB2312" w:cs="仿宋_GB2312"/>
          <w:kern w:val="2"/>
          <w:sz w:val="32"/>
          <w:szCs w:val="30"/>
          <w:lang w:val="en-US" w:eastAsia="zh-CN" w:bidi="ar-SA"/>
        </w:rPr>
        <w:fldChar w:fldCharType="end"/>
      </w:r>
    </w:p>
    <w:p w14:paraId="62B7AB4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2025年单位预算安排购置车辆0辆，安排购置单位价值200万元以上大型设备具体为：未安排购置单位价值200万元以上大型设备。</w:t>
      </w:r>
    </w:p>
    <w:p w14:paraId="2D53C306">
      <w:pPr>
        <w:keepNext w:val="0"/>
        <w:keepLines w:val="0"/>
        <w:pageBreakBefore w:val="0"/>
        <w:kinsoku/>
        <w:wordWrap/>
        <w:overflowPunct/>
        <w:topLinePunct w:val="0"/>
        <w:autoSpaceDE/>
        <w:autoSpaceDN/>
        <w:bidi w:val="0"/>
        <w:adjustRightInd/>
        <w:snapToGrid/>
        <w:spacing w:line="600" w:lineRule="exact"/>
        <w:jc w:val="both"/>
        <w:textAlignment w:val="auto"/>
        <w:rPr>
          <w:rFonts w:ascii="Adobe 仿宋 Std R" w:hAnsi="Adobe 仿宋 Std R" w:eastAsia="Adobe 仿宋 Std R"/>
          <w:sz w:val="32"/>
          <w:szCs w:val="32"/>
        </w:rPr>
      </w:pPr>
    </w:p>
    <w:p w14:paraId="7516F99A">
      <w:pPr>
        <w:keepNext w:val="0"/>
        <w:keepLines w:val="0"/>
        <w:pageBreakBefore w:val="0"/>
        <w:widowControl/>
        <w:kinsoku/>
        <w:wordWrap/>
        <w:overflowPunct/>
        <w:topLinePunct w:val="0"/>
        <w:autoSpaceDE/>
        <w:autoSpaceDN/>
        <w:bidi w:val="0"/>
        <w:adjustRightInd/>
        <w:snapToGrid/>
        <w:spacing w:line="600" w:lineRule="exact"/>
        <w:ind w:firstLine="321" w:firstLineChars="100"/>
        <w:jc w:val="both"/>
        <w:textAlignment w:val="auto"/>
        <w:rPr>
          <w:rFonts w:ascii="楷体_GB2312" w:eastAsia="楷体_GB2312"/>
          <w:b/>
          <w:sz w:val="32"/>
          <w:szCs w:val="30"/>
        </w:rPr>
      </w:pPr>
      <w:r>
        <w:rPr>
          <w:rFonts w:hint="eastAsia" w:ascii="黑体" w:hAnsi="黑体" w:eastAsia="黑体" w:cs="黑体"/>
          <w:b/>
          <w:sz w:val="32"/>
          <w:szCs w:val="32"/>
        </w:rPr>
        <w:t>二、</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w:t>
      </w:r>
      <w:r>
        <w:rPr>
          <w:rFonts w:hint="eastAsia" w:ascii="黑体" w:hAnsi="黑体" w:eastAsia="黑体" w:cs="黑体"/>
          <w:b/>
          <w:sz w:val="32"/>
          <w:szCs w:val="32"/>
        </w:rPr>
        <w:t>三公</w:t>
      </w:r>
      <w:r>
        <w:rPr>
          <w:rFonts w:hint="eastAsia" w:ascii="黑体" w:hAnsi="黑体" w:eastAsia="黑体" w:cs="黑体"/>
          <w:b/>
          <w:sz w:val="32"/>
          <w:szCs w:val="32"/>
          <w:lang w:eastAsia="zh-CN"/>
        </w:rPr>
        <w:t>”</w:t>
      </w:r>
      <w:r>
        <w:rPr>
          <w:rFonts w:hint="eastAsia" w:ascii="黑体" w:hAnsi="黑体" w:eastAsia="黑体" w:cs="黑体"/>
          <w:b/>
          <w:sz w:val="32"/>
          <w:szCs w:val="32"/>
        </w:rPr>
        <w:t>经费预算情况说明</w:t>
      </w:r>
    </w:p>
    <w:p w14:paraId="7493A02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${page400644146.ds215660413_REP_JXJC_AGENCY_WZR_NAME}</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景德镇市交通运输事业发展中心</w:t>
      </w:r>
      <w:r>
        <w:rPr>
          <w:rFonts w:hint="eastAsia" w:ascii="仿宋_GB2312" w:hAnsi="仿宋_GB2312" w:eastAsia="仿宋_GB2312" w:cs="仿宋_GB2312"/>
          <w:kern w:val="2"/>
          <w:sz w:val="32"/>
          <w:szCs w:val="30"/>
          <w:lang w:val="en-US" w:eastAsia="zh-CN" w:bidi="ar-SA"/>
        </w:rPr>
        <w:fldChar w:fldCharType="end"/>
      </w:r>
      <w:r>
        <w:rPr>
          <w:rFonts w:hint="eastAsia" w:ascii="仿宋_GB2312" w:hAnsi="仿宋_GB2312" w:eastAsia="仿宋_GB2312" w:cs="仿宋_GB2312"/>
          <w:kern w:val="2"/>
          <w:sz w:val="32"/>
          <w:szCs w:val="30"/>
          <w:lang w:val="en-US" w:eastAsia="zh-CN" w:bidi="ar-SA"/>
        </w:rPr>
        <w:t>“三公”经费财政拨款安排2x万元，其中：</w:t>
      </w:r>
    </w:p>
    <w:p w14:paraId="7CAACB9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因公出国（境）费0万元，比上年增加0万元，主要原因是：与上年安排保持一致。</w:t>
      </w:r>
    </w:p>
    <w:p w14:paraId="164F626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公务接待费2万元，比上年增加0万元，主要原因是：与上年安排保持一致。</w:t>
      </w:r>
    </w:p>
    <w:p w14:paraId="4A13AB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公务用车运行维护费0万元，比上年增加0万元，主要原因是：与上年安排保持一致。</w:t>
      </w:r>
    </w:p>
    <w:p w14:paraId="299D1F6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公务用车购置费0万元，比上年增加0万元，主要原因是：与上年安排保持一致。</w:t>
      </w:r>
    </w:p>
    <w:p w14:paraId="40A5FECB">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647F5377">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6E7FC802">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7062D6A8">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365236BA">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55B6E749">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31AA407C">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22BDA9E2">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1FEA89E5">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47E8FA14">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6C1B6A18">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32D9BE6E">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p>
    <w:p w14:paraId="009017DF">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r>
        <w:rPr>
          <w:rFonts w:hint="eastAsia" w:ascii="方正小标宋简体" w:hAnsi="方正小标宋简体" w:eastAsia="方正小标宋简体" w:cs="方正小标宋简体"/>
          <w:b/>
          <w:sz w:val="32"/>
          <w:szCs w:val="30"/>
        </w:rPr>
        <w:t>第四部分   名词解释</w:t>
      </w:r>
    </w:p>
    <w:p w14:paraId="36295F09">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both"/>
        <w:textAlignment w:val="auto"/>
        <w:rPr>
          <w:rFonts w:hint="eastAsia" w:ascii="方正小标宋简体" w:hAnsi="方正小标宋简体" w:eastAsia="方正小标宋简体" w:cs="方正小标宋简体"/>
          <w:b/>
          <w:sz w:val="32"/>
          <w:szCs w:val="30"/>
        </w:rPr>
      </w:pPr>
    </w:p>
    <w:p w14:paraId="5CAFC5DC">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一、收入科目</w:t>
      </w:r>
    </w:p>
    <w:p w14:paraId="0A20EB96">
      <w:pPr>
        <w:widowControl/>
        <w:spacing w:line="600" w:lineRule="exact"/>
        <w:ind w:firstLine="640"/>
        <w:jc w:val="left"/>
        <w:rPr>
          <w:rFonts w:ascii="仿宋_GB2312" w:eastAsia="仿宋_GB2312"/>
          <w:color w:val="000000"/>
          <w:sz w:val="32"/>
          <w:szCs w:val="30"/>
        </w:rPr>
      </w:pPr>
      <w:r>
        <w:rPr>
          <w:rFonts w:hint="eastAsia" w:ascii="仿宋_GB2312" w:eastAsia="仿宋_GB2312"/>
          <w:color w:val="000000"/>
          <w:sz w:val="32"/>
          <w:szCs w:val="30"/>
        </w:rPr>
        <w:t>（一）财政拨款：指市级财政当年拨付的资金。</w:t>
      </w:r>
    </w:p>
    <w:p w14:paraId="2881151B">
      <w:pPr>
        <w:widowControl/>
        <w:spacing w:line="600" w:lineRule="exact"/>
        <w:ind w:firstLine="636"/>
        <w:jc w:val="left"/>
        <w:rPr>
          <w:rFonts w:ascii="仿宋_GB2312" w:eastAsia="仿宋_GB2312"/>
          <w:color w:val="000000"/>
          <w:sz w:val="32"/>
          <w:szCs w:val="30"/>
        </w:rPr>
      </w:pPr>
      <w:r>
        <w:rPr>
          <w:rFonts w:hint="eastAsia" w:ascii="仿宋_GB2312" w:eastAsia="仿宋_GB2312"/>
          <w:color w:val="000000"/>
          <w:sz w:val="32"/>
          <w:szCs w:val="30"/>
        </w:rPr>
        <w:t>（二）事业收入：指事业单位开展专业业务活动及辅助活动取得的收入。</w:t>
      </w:r>
    </w:p>
    <w:p w14:paraId="0A7DC917">
      <w:pPr>
        <w:widowControl/>
        <w:spacing w:line="600" w:lineRule="exact"/>
        <w:ind w:firstLine="636"/>
        <w:jc w:val="left"/>
        <w:rPr>
          <w:rFonts w:ascii="仿宋_GB2312" w:eastAsia="仿宋_GB2312"/>
          <w:color w:val="000000"/>
          <w:sz w:val="32"/>
          <w:szCs w:val="30"/>
        </w:rPr>
      </w:pPr>
      <w:r>
        <w:rPr>
          <w:rFonts w:hint="eastAsia" w:ascii="仿宋_GB2312" w:eastAsia="仿宋_GB2312"/>
          <w:color w:val="000000"/>
          <w:sz w:val="32"/>
          <w:szCs w:val="30"/>
        </w:rPr>
        <w:t>（三）事业单位经营收入：指事业单位在专业业务活动及辅助活动之外开展非独立核算经营活动取得的收入。</w:t>
      </w:r>
    </w:p>
    <w:p w14:paraId="5AE38B50">
      <w:pPr>
        <w:widowControl/>
        <w:spacing w:line="600" w:lineRule="exact"/>
        <w:ind w:firstLine="636"/>
        <w:jc w:val="left"/>
        <w:rPr>
          <w:rFonts w:ascii="仿宋_GB2312" w:eastAsia="仿宋_GB2312"/>
          <w:color w:val="000000"/>
          <w:sz w:val="32"/>
          <w:szCs w:val="30"/>
        </w:rPr>
      </w:pPr>
      <w:r>
        <w:rPr>
          <w:rFonts w:hint="eastAsia" w:ascii="仿宋_GB2312" w:eastAsia="仿宋_GB2312"/>
          <w:color w:val="000000"/>
          <w:sz w:val="32"/>
          <w:szCs w:val="30"/>
        </w:rPr>
        <w:t>（四）其他收入：指除财政拨款、事业收入、事业单位经营收入等以外的各项收入。</w:t>
      </w:r>
    </w:p>
    <w:p w14:paraId="4A30102D">
      <w:pPr>
        <w:spacing w:line="600" w:lineRule="exact"/>
        <w:ind w:firstLine="640" w:firstLineChars="200"/>
        <w:rPr>
          <w:rFonts w:ascii="仿宋_GB2312" w:eastAsia="仿宋_GB2312"/>
          <w:color w:val="000000"/>
          <w:sz w:val="32"/>
          <w:szCs w:val="30"/>
        </w:rPr>
      </w:pPr>
      <w:r>
        <w:rPr>
          <w:rFonts w:hint="eastAsia" w:ascii="仿宋_GB2312" w:eastAsia="仿宋_GB2312"/>
          <w:color w:val="000000"/>
          <w:sz w:val="32"/>
          <w:szCs w:val="30"/>
        </w:rPr>
        <w:t>（五）附属单位上缴收入：反映事业单位附属的独立核算单位按规定标准或比例缴纳的各项收入。包括附属的事业单位上缴的收入和附属的企业上缴的利润等。</w:t>
      </w:r>
    </w:p>
    <w:p w14:paraId="7E174AFD">
      <w:pPr>
        <w:spacing w:line="600" w:lineRule="exact"/>
        <w:ind w:firstLine="640" w:firstLineChars="200"/>
        <w:rPr>
          <w:rFonts w:hint="eastAsia" w:ascii="仿宋_GB2312" w:hAnsi="仿宋_GB2312" w:eastAsia="仿宋_GB2312" w:cs="仿宋_GB2312"/>
          <w:kern w:val="2"/>
          <w:sz w:val="32"/>
          <w:szCs w:val="30"/>
          <w:lang w:val="en-US" w:eastAsia="zh-CN" w:bidi="ar-SA"/>
        </w:rPr>
      </w:pPr>
      <w:r>
        <w:rPr>
          <w:rFonts w:hint="eastAsia" w:ascii="仿宋_GB2312" w:eastAsia="仿宋_GB2312"/>
          <w:color w:val="000000"/>
          <w:sz w:val="32"/>
          <w:szCs w:val="30"/>
        </w:rPr>
        <w:t>（六）上级补助收入：反映事业单位从主管部门和上级单位取得的非财政补助收入。</w:t>
      </w:r>
    </w:p>
    <w:p w14:paraId="5C444EA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黑体" w:hAnsi="黑体" w:eastAsia="黑体" w:cs="黑体"/>
          <w:b/>
          <w:sz w:val="32"/>
          <w:szCs w:val="32"/>
        </w:rPr>
        <w:t>二、支出科目</w:t>
      </w:r>
    </w:p>
    <w:p w14:paraId="51F3047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lang w:eastAsia="zh-CN"/>
        </w:rPr>
        <w:t>（一）</w:t>
      </w:r>
      <w:r>
        <w:rPr>
          <w:rFonts w:hint="eastAsia" w:ascii="仿宋_GB2312" w:eastAsia="仿宋_GB2312"/>
          <w:color w:val="000000"/>
          <w:sz w:val="32"/>
          <w:szCs w:val="30"/>
          <w:lang w:val="en-US" w:eastAsia="zh-CN"/>
        </w:rPr>
        <w:t>交通运输支出</w:t>
      </w:r>
      <w:r>
        <w:rPr>
          <w:rFonts w:hint="eastAsia" w:ascii="仿宋_GB2312" w:eastAsia="仿宋_GB2312"/>
          <w:color w:val="000000"/>
          <w:sz w:val="32"/>
          <w:szCs w:val="30"/>
          <w:lang w:eastAsia="zh-CN"/>
        </w:rPr>
        <w:t>（类）</w:t>
      </w:r>
      <w:r>
        <w:rPr>
          <w:rFonts w:hint="eastAsia" w:ascii="仿宋_GB2312" w:eastAsia="仿宋_GB2312"/>
          <w:color w:val="000000"/>
          <w:sz w:val="32"/>
          <w:szCs w:val="30"/>
          <w:lang w:val="en-US" w:eastAsia="zh-CN"/>
        </w:rPr>
        <w:t>公路水路运输</w:t>
      </w:r>
      <w:r>
        <w:rPr>
          <w:rFonts w:hint="eastAsia" w:ascii="仿宋_GB2312" w:eastAsia="仿宋_GB2312"/>
          <w:color w:val="000000"/>
          <w:sz w:val="32"/>
          <w:szCs w:val="30"/>
          <w:lang w:eastAsia="zh-CN"/>
        </w:rPr>
        <w:t>（款）行政运行（项）：反映行政单位（包括公实行公务员管理的事业单位）的基本支出。</w:t>
      </w:r>
    </w:p>
    <w:p w14:paraId="6B47B52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lang w:eastAsia="zh-CN"/>
        </w:rPr>
        <w:t>（</w:t>
      </w:r>
      <w:r>
        <w:rPr>
          <w:rFonts w:hint="eastAsia" w:ascii="仿宋_GB2312" w:eastAsia="仿宋_GB2312"/>
          <w:color w:val="000000"/>
          <w:sz w:val="32"/>
          <w:szCs w:val="30"/>
          <w:lang w:val="en-US" w:eastAsia="zh-CN"/>
        </w:rPr>
        <w:t>二</w:t>
      </w:r>
      <w:r>
        <w:rPr>
          <w:rFonts w:hint="eastAsia" w:ascii="仿宋_GB2312" w:eastAsia="仿宋_GB2312"/>
          <w:color w:val="000000"/>
          <w:sz w:val="32"/>
          <w:szCs w:val="30"/>
          <w:lang w:eastAsia="zh-CN"/>
        </w:rPr>
        <w:t>）卫生健康支出（类）行政事业单位医疗（款）行政单位医疗（项）：反映财政部安排的行政单位（包含实行公务员管理的事业单位，下同）基本医疗保险缴费经费，未参加医疗保险的行政单位的公费医疗经费。</w:t>
      </w:r>
    </w:p>
    <w:p w14:paraId="1A15C92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lang w:eastAsia="zh-CN"/>
        </w:rPr>
        <w:t>（</w:t>
      </w:r>
      <w:r>
        <w:rPr>
          <w:rFonts w:hint="eastAsia" w:ascii="仿宋_GB2312" w:eastAsia="仿宋_GB2312"/>
          <w:color w:val="000000"/>
          <w:sz w:val="32"/>
          <w:szCs w:val="30"/>
          <w:lang w:val="en-US" w:eastAsia="zh-CN"/>
        </w:rPr>
        <w:t>三</w:t>
      </w:r>
      <w:r>
        <w:rPr>
          <w:rFonts w:hint="eastAsia" w:ascii="仿宋_GB2312" w:eastAsia="仿宋_GB2312"/>
          <w:color w:val="000000"/>
          <w:sz w:val="32"/>
          <w:szCs w:val="30"/>
          <w:lang w:eastAsia="zh-CN"/>
        </w:rPr>
        <w:t>）住房保障支出（类）住房改革支出（款）购房补贴（项）：反映按房改政策规定，行政事业单位向符合条件的职工发放用于购买住房的补贴。</w:t>
      </w:r>
    </w:p>
    <w:p w14:paraId="0CAC5DA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color w:val="000000"/>
          <w:sz w:val="32"/>
          <w:szCs w:val="30"/>
          <w:lang w:eastAsia="zh-CN"/>
        </w:rPr>
      </w:pPr>
      <w:r>
        <w:rPr>
          <w:rFonts w:hint="eastAsia" w:ascii="仿宋_GB2312" w:eastAsia="仿宋_GB2312"/>
          <w:color w:val="000000"/>
          <w:sz w:val="32"/>
          <w:szCs w:val="30"/>
          <w:lang w:eastAsia="zh-CN"/>
        </w:rPr>
        <w:t>（</w:t>
      </w:r>
      <w:r>
        <w:rPr>
          <w:rFonts w:hint="eastAsia" w:ascii="仿宋_GB2312" w:eastAsia="仿宋_GB2312"/>
          <w:color w:val="000000"/>
          <w:sz w:val="32"/>
          <w:szCs w:val="30"/>
          <w:lang w:val="en-US" w:eastAsia="zh-CN"/>
        </w:rPr>
        <w:t>四</w:t>
      </w:r>
      <w:r>
        <w:rPr>
          <w:rFonts w:hint="eastAsia" w:ascii="仿宋_GB2312" w:eastAsia="仿宋_GB2312"/>
          <w:color w:val="000000"/>
          <w:sz w:val="32"/>
          <w:szCs w:val="30"/>
          <w:lang w:eastAsia="zh-CN"/>
        </w:rPr>
        <w:t>）社会保障和就业支出（类）行政事业单位养老支出（款）机关事业单位基本养老保险缴费支出（项）：反映机关事业单位实施养老保险制度由单位缴纳的基本养老保险费支出。</w:t>
      </w:r>
    </w:p>
    <w:p w14:paraId="6B365F2A">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三、相关专业名词</w:t>
      </w:r>
    </w:p>
    <w:p w14:paraId="6ABE56D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一）机关运行费：指用一般公共预算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570628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仿宋" w:hAnsi="仿宋" w:eastAsia="仿宋"/>
          <w:color w:val="000000"/>
          <w:sz w:val="32"/>
          <w:szCs w:val="32"/>
        </w:rPr>
      </w:pPr>
      <w:r>
        <w:rPr>
          <w:rFonts w:hint="eastAsia" w:ascii="仿宋_GB2312" w:hAnsi="仿宋_GB2312" w:eastAsia="仿宋_GB2312" w:cs="仿宋_GB2312"/>
          <w:kern w:val="2"/>
          <w:sz w:val="32"/>
          <w:szCs w:val="30"/>
          <w:lang w:val="en-US" w:eastAsia="zh-CN" w:bidi="ar-SA"/>
        </w:rPr>
        <w:t>（二）“三公”经费：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6C13A93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ascii="仿宋" w:hAnsi="仿宋" w:eastAsia="仿宋"/>
          <w:color w:val="000000"/>
          <w:sz w:val="32"/>
          <w:szCs w:val="32"/>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00" w:usb3="00000000" w:csb0="00040000" w:csb1="00000000"/>
  </w:font>
  <w:font w:name="方正大标宋简体">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6F28">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Q3YWNmZWRmNmZhZGUxYmY3ZDJjYjM1ZWVjNjgxNzEifQ=="/>
    <w:docVar w:name="KSO_WPS_MARK_KEY" w:val="dc1af74b-1abe-4496-b965-79deeb27cc8e"/>
  </w:docVars>
  <w:rsids>
    <w:rsidRoot w:val="00DF43D8"/>
    <w:rsid w:val="000001B2"/>
    <w:rsid w:val="00014049"/>
    <w:rsid w:val="0001648A"/>
    <w:rsid w:val="00022CB3"/>
    <w:rsid w:val="00031749"/>
    <w:rsid w:val="00041EAA"/>
    <w:rsid w:val="000501C3"/>
    <w:rsid w:val="00055F20"/>
    <w:rsid w:val="000630BE"/>
    <w:rsid w:val="0006515E"/>
    <w:rsid w:val="00085227"/>
    <w:rsid w:val="0009034E"/>
    <w:rsid w:val="000927A9"/>
    <w:rsid w:val="000963CD"/>
    <w:rsid w:val="000A2066"/>
    <w:rsid w:val="000B313A"/>
    <w:rsid w:val="000B4F9E"/>
    <w:rsid w:val="000C6AF7"/>
    <w:rsid w:val="000E1BC2"/>
    <w:rsid w:val="000E6313"/>
    <w:rsid w:val="000F227D"/>
    <w:rsid w:val="000F2E5F"/>
    <w:rsid w:val="00104F58"/>
    <w:rsid w:val="00117D8C"/>
    <w:rsid w:val="00131F78"/>
    <w:rsid w:val="001823EA"/>
    <w:rsid w:val="00186709"/>
    <w:rsid w:val="00192620"/>
    <w:rsid w:val="00193C37"/>
    <w:rsid w:val="001C4ED5"/>
    <w:rsid w:val="001C6F31"/>
    <w:rsid w:val="001D2644"/>
    <w:rsid w:val="001E0EE7"/>
    <w:rsid w:val="001E6FA2"/>
    <w:rsid w:val="001F1DED"/>
    <w:rsid w:val="0021331D"/>
    <w:rsid w:val="00213D4E"/>
    <w:rsid w:val="0022612A"/>
    <w:rsid w:val="00232A32"/>
    <w:rsid w:val="002436CD"/>
    <w:rsid w:val="00251AD0"/>
    <w:rsid w:val="00281E28"/>
    <w:rsid w:val="00283C63"/>
    <w:rsid w:val="00284437"/>
    <w:rsid w:val="002A02B4"/>
    <w:rsid w:val="002A1ED6"/>
    <w:rsid w:val="002A45BD"/>
    <w:rsid w:val="002B0263"/>
    <w:rsid w:val="002B128B"/>
    <w:rsid w:val="002B2D42"/>
    <w:rsid w:val="002C2478"/>
    <w:rsid w:val="002D2681"/>
    <w:rsid w:val="002D418E"/>
    <w:rsid w:val="002D497C"/>
    <w:rsid w:val="002D7200"/>
    <w:rsid w:val="0030186C"/>
    <w:rsid w:val="003057A1"/>
    <w:rsid w:val="00316059"/>
    <w:rsid w:val="00316B29"/>
    <w:rsid w:val="0032092A"/>
    <w:rsid w:val="00323750"/>
    <w:rsid w:val="00334A98"/>
    <w:rsid w:val="00344E49"/>
    <w:rsid w:val="00380DD1"/>
    <w:rsid w:val="00394DC6"/>
    <w:rsid w:val="003959F5"/>
    <w:rsid w:val="003A2923"/>
    <w:rsid w:val="003B68F4"/>
    <w:rsid w:val="003B76FD"/>
    <w:rsid w:val="003C0BFF"/>
    <w:rsid w:val="003C0D66"/>
    <w:rsid w:val="003C19AF"/>
    <w:rsid w:val="003C7840"/>
    <w:rsid w:val="003D0809"/>
    <w:rsid w:val="00406851"/>
    <w:rsid w:val="004345D9"/>
    <w:rsid w:val="00436836"/>
    <w:rsid w:val="0044016E"/>
    <w:rsid w:val="00446148"/>
    <w:rsid w:val="004535A0"/>
    <w:rsid w:val="00456869"/>
    <w:rsid w:val="004664AF"/>
    <w:rsid w:val="00472987"/>
    <w:rsid w:val="00480768"/>
    <w:rsid w:val="00495985"/>
    <w:rsid w:val="00496629"/>
    <w:rsid w:val="004A0058"/>
    <w:rsid w:val="004B06B4"/>
    <w:rsid w:val="004D6A23"/>
    <w:rsid w:val="004E0577"/>
    <w:rsid w:val="004E5555"/>
    <w:rsid w:val="004F5378"/>
    <w:rsid w:val="004F7260"/>
    <w:rsid w:val="005006DE"/>
    <w:rsid w:val="00502AB1"/>
    <w:rsid w:val="00516279"/>
    <w:rsid w:val="0052565B"/>
    <w:rsid w:val="00526265"/>
    <w:rsid w:val="00526CE0"/>
    <w:rsid w:val="00532264"/>
    <w:rsid w:val="00544895"/>
    <w:rsid w:val="00553AA6"/>
    <w:rsid w:val="00555080"/>
    <w:rsid w:val="0055670D"/>
    <w:rsid w:val="00571A5D"/>
    <w:rsid w:val="00580BF8"/>
    <w:rsid w:val="005828C8"/>
    <w:rsid w:val="005902D1"/>
    <w:rsid w:val="0059038A"/>
    <w:rsid w:val="0059672A"/>
    <w:rsid w:val="00596957"/>
    <w:rsid w:val="005A3FD6"/>
    <w:rsid w:val="005A65E4"/>
    <w:rsid w:val="005C3676"/>
    <w:rsid w:val="005C3DDD"/>
    <w:rsid w:val="005D7ACB"/>
    <w:rsid w:val="005F090C"/>
    <w:rsid w:val="005F35BD"/>
    <w:rsid w:val="005F69D4"/>
    <w:rsid w:val="00611FE7"/>
    <w:rsid w:val="00623A52"/>
    <w:rsid w:val="006247CA"/>
    <w:rsid w:val="00631E83"/>
    <w:rsid w:val="00631FA4"/>
    <w:rsid w:val="00650900"/>
    <w:rsid w:val="00655E8B"/>
    <w:rsid w:val="00660CC3"/>
    <w:rsid w:val="006740FD"/>
    <w:rsid w:val="006833F4"/>
    <w:rsid w:val="00687B67"/>
    <w:rsid w:val="006918B8"/>
    <w:rsid w:val="006924DA"/>
    <w:rsid w:val="00696646"/>
    <w:rsid w:val="006A1709"/>
    <w:rsid w:val="006C08EA"/>
    <w:rsid w:val="006C185B"/>
    <w:rsid w:val="006C3868"/>
    <w:rsid w:val="006F20BD"/>
    <w:rsid w:val="00704CAB"/>
    <w:rsid w:val="0075709B"/>
    <w:rsid w:val="007574FE"/>
    <w:rsid w:val="00777795"/>
    <w:rsid w:val="00777962"/>
    <w:rsid w:val="007913DC"/>
    <w:rsid w:val="00792A6C"/>
    <w:rsid w:val="0079393D"/>
    <w:rsid w:val="00796F4F"/>
    <w:rsid w:val="007A4D44"/>
    <w:rsid w:val="007B4314"/>
    <w:rsid w:val="007C27E0"/>
    <w:rsid w:val="007D4ACC"/>
    <w:rsid w:val="007F1616"/>
    <w:rsid w:val="007F4968"/>
    <w:rsid w:val="007F5C86"/>
    <w:rsid w:val="007F79A6"/>
    <w:rsid w:val="008032D2"/>
    <w:rsid w:val="00804C42"/>
    <w:rsid w:val="00823697"/>
    <w:rsid w:val="00846526"/>
    <w:rsid w:val="008506D9"/>
    <w:rsid w:val="00863898"/>
    <w:rsid w:val="00865CCE"/>
    <w:rsid w:val="00865FE3"/>
    <w:rsid w:val="00872CE4"/>
    <w:rsid w:val="00875B04"/>
    <w:rsid w:val="00876D17"/>
    <w:rsid w:val="008827CA"/>
    <w:rsid w:val="00882C91"/>
    <w:rsid w:val="00884FAE"/>
    <w:rsid w:val="008979F6"/>
    <w:rsid w:val="00897CAC"/>
    <w:rsid w:val="008A2491"/>
    <w:rsid w:val="008B52E8"/>
    <w:rsid w:val="008C011F"/>
    <w:rsid w:val="008C01B1"/>
    <w:rsid w:val="008C6EEE"/>
    <w:rsid w:val="008E0293"/>
    <w:rsid w:val="008E1EFA"/>
    <w:rsid w:val="00902917"/>
    <w:rsid w:val="009160F0"/>
    <w:rsid w:val="0091783F"/>
    <w:rsid w:val="0094115F"/>
    <w:rsid w:val="009421D2"/>
    <w:rsid w:val="0094514C"/>
    <w:rsid w:val="00946A59"/>
    <w:rsid w:val="009471C3"/>
    <w:rsid w:val="0095097A"/>
    <w:rsid w:val="009527A7"/>
    <w:rsid w:val="009557AC"/>
    <w:rsid w:val="00956999"/>
    <w:rsid w:val="009619B4"/>
    <w:rsid w:val="00964DCD"/>
    <w:rsid w:val="00973905"/>
    <w:rsid w:val="0097415C"/>
    <w:rsid w:val="00984ACE"/>
    <w:rsid w:val="009A4624"/>
    <w:rsid w:val="009A7AB9"/>
    <w:rsid w:val="009B2C7D"/>
    <w:rsid w:val="009B4813"/>
    <w:rsid w:val="009C2EBF"/>
    <w:rsid w:val="009C3827"/>
    <w:rsid w:val="009D3197"/>
    <w:rsid w:val="009E1C45"/>
    <w:rsid w:val="009E1F3F"/>
    <w:rsid w:val="009F72E5"/>
    <w:rsid w:val="00A0455D"/>
    <w:rsid w:val="00A10F16"/>
    <w:rsid w:val="00A2168A"/>
    <w:rsid w:val="00A345A4"/>
    <w:rsid w:val="00A54282"/>
    <w:rsid w:val="00A55773"/>
    <w:rsid w:val="00A60B4D"/>
    <w:rsid w:val="00A81BA2"/>
    <w:rsid w:val="00AA62DE"/>
    <w:rsid w:val="00AB656D"/>
    <w:rsid w:val="00AB7307"/>
    <w:rsid w:val="00AC370A"/>
    <w:rsid w:val="00AF095D"/>
    <w:rsid w:val="00AF57C9"/>
    <w:rsid w:val="00AF62CD"/>
    <w:rsid w:val="00B0337F"/>
    <w:rsid w:val="00B128C8"/>
    <w:rsid w:val="00B169A7"/>
    <w:rsid w:val="00B348A8"/>
    <w:rsid w:val="00B619F8"/>
    <w:rsid w:val="00B6242B"/>
    <w:rsid w:val="00B71EBE"/>
    <w:rsid w:val="00B82840"/>
    <w:rsid w:val="00B96CEB"/>
    <w:rsid w:val="00BA572C"/>
    <w:rsid w:val="00BF0316"/>
    <w:rsid w:val="00C03AFB"/>
    <w:rsid w:val="00C35830"/>
    <w:rsid w:val="00C4059E"/>
    <w:rsid w:val="00C474E4"/>
    <w:rsid w:val="00C61B8F"/>
    <w:rsid w:val="00C644A7"/>
    <w:rsid w:val="00C771B3"/>
    <w:rsid w:val="00C803DA"/>
    <w:rsid w:val="00C82CA3"/>
    <w:rsid w:val="00CB10B2"/>
    <w:rsid w:val="00CB3DBA"/>
    <w:rsid w:val="00CC4504"/>
    <w:rsid w:val="00CC4FF5"/>
    <w:rsid w:val="00CC517F"/>
    <w:rsid w:val="00CD0083"/>
    <w:rsid w:val="00CE1A2B"/>
    <w:rsid w:val="00CE6F1B"/>
    <w:rsid w:val="00CE7185"/>
    <w:rsid w:val="00CF0A52"/>
    <w:rsid w:val="00D00272"/>
    <w:rsid w:val="00D01624"/>
    <w:rsid w:val="00D11449"/>
    <w:rsid w:val="00D14B5F"/>
    <w:rsid w:val="00D17D0A"/>
    <w:rsid w:val="00D20C6C"/>
    <w:rsid w:val="00D23489"/>
    <w:rsid w:val="00D3381E"/>
    <w:rsid w:val="00D36173"/>
    <w:rsid w:val="00D41219"/>
    <w:rsid w:val="00D524EE"/>
    <w:rsid w:val="00D666BC"/>
    <w:rsid w:val="00D678E3"/>
    <w:rsid w:val="00D826D7"/>
    <w:rsid w:val="00D86F52"/>
    <w:rsid w:val="00DB0580"/>
    <w:rsid w:val="00DD15FE"/>
    <w:rsid w:val="00DE2065"/>
    <w:rsid w:val="00DE20E0"/>
    <w:rsid w:val="00DE5904"/>
    <w:rsid w:val="00DE6773"/>
    <w:rsid w:val="00DF2E83"/>
    <w:rsid w:val="00DF43D8"/>
    <w:rsid w:val="00E04E74"/>
    <w:rsid w:val="00E11187"/>
    <w:rsid w:val="00E17B11"/>
    <w:rsid w:val="00E34083"/>
    <w:rsid w:val="00E365F2"/>
    <w:rsid w:val="00E503CC"/>
    <w:rsid w:val="00E5794A"/>
    <w:rsid w:val="00E60E90"/>
    <w:rsid w:val="00E83029"/>
    <w:rsid w:val="00E9293D"/>
    <w:rsid w:val="00E92A8B"/>
    <w:rsid w:val="00E97D8C"/>
    <w:rsid w:val="00EA3654"/>
    <w:rsid w:val="00EA36FC"/>
    <w:rsid w:val="00EB5768"/>
    <w:rsid w:val="00EB656D"/>
    <w:rsid w:val="00EB6777"/>
    <w:rsid w:val="00EC3DDF"/>
    <w:rsid w:val="00ED0D2B"/>
    <w:rsid w:val="00EE5DE1"/>
    <w:rsid w:val="00EE6568"/>
    <w:rsid w:val="00F01B58"/>
    <w:rsid w:val="00F11FE4"/>
    <w:rsid w:val="00F132AE"/>
    <w:rsid w:val="00F2583E"/>
    <w:rsid w:val="00F32E83"/>
    <w:rsid w:val="00F823EA"/>
    <w:rsid w:val="00F95E5A"/>
    <w:rsid w:val="00F975EB"/>
    <w:rsid w:val="00FA278B"/>
    <w:rsid w:val="00FA354D"/>
    <w:rsid w:val="00FA3B89"/>
    <w:rsid w:val="00FD29E0"/>
    <w:rsid w:val="00FE0E90"/>
    <w:rsid w:val="00FE32CC"/>
    <w:rsid w:val="00FE7CCF"/>
    <w:rsid w:val="00FF60EC"/>
    <w:rsid w:val="00FF6368"/>
    <w:rsid w:val="036C5B2C"/>
    <w:rsid w:val="058B0ED5"/>
    <w:rsid w:val="06483D8D"/>
    <w:rsid w:val="067A6028"/>
    <w:rsid w:val="07DC6F5C"/>
    <w:rsid w:val="09B428D7"/>
    <w:rsid w:val="0A902C22"/>
    <w:rsid w:val="0C97247A"/>
    <w:rsid w:val="0DB3098E"/>
    <w:rsid w:val="0E76300A"/>
    <w:rsid w:val="0E7A2B9B"/>
    <w:rsid w:val="0F8E55BD"/>
    <w:rsid w:val="11D81D3B"/>
    <w:rsid w:val="13F400F5"/>
    <w:rsid w:val="15C42E22"/>
    <w:rsid w:val="16F5338F"/>
    <w:rsid w:val="190F4538"/>
    <w:rsid w:val="1C09434C"/>
    <w:rsid w:val="1D3B2063"/>
    <w:rsid w:val="1DD63018"/>
    <w:rsid w:val="1F6317B9"/>
    <w:rsid w:val="206D0602"/>
    <w:rsid w:val="22430342"/>
    <w:rsid w:val="22837C9C"/>
    <w:rsid w:val="22B04AEF"/>
    <w:rsid w:val="25B931E9"/>
    <w:rsid w:val="2828673B"/>
    <w:rsid w:val="29473E76"/>
    <w:rsid w:val="2C120555"/>
    <w:rsid w:val="2C3F62CD"/>
    <w:rsid w:val="2C57797E"/>
    <w:rsid w:val="3328400E"/>
    <w:rsid w:val="34443B58"/>
    <w:rsid w:val="35A5423F"/>
    <w:rsid w:val="35AB3877"/>
    <w:rsid w:val="3A841EE9"/>
    <w:rsid w:val="3A9F1A72"/>
    <w:rsid w:val="3B7D1841"/>
    <w:rsid w:val="3F383632"/>
    <w:rsid w:val="4052753A"/>
    <w:rsid w:val="47247F00"/>
    <w:rsid w:val="48A04793"/>
    <w:rsid w:val="4A901356"/>
    <w:rsid w:val="4B270AA0"/>
    <w:rsid w:val="4D1A1484"/>
    <w:rsid w:val="4F9D174D"/>
    <w:rsid w:val="53486019"/>
    <w:rsid w:val="53516268"/>
    <w:rsid w:val="562E4844"/>
    <w:rsid w:val="56C47F55"/>
    <w:rsid w:val="5CF87539"/>
    <w:rsid w:val="5F2F6D66"/>
    <w:rsid w:val="62F041A1"/>
    <w:rsid w:val="63E33020"/>
    <w:rsid w:val="64062A42"/>
    <w:rsid w:val="69060995"/>
    <w:rsid w:val="6B235DBA"/>
    <w:rsid w:val="6BE248E5"/>
    <w:rsid w:val="6C335661"/>
    <w:rsid w:val="6EDB6140"/>
    <w:rsid w:val="6EF57DCA"/>
    <w:rsid w:val="6FB901C7"/>
    <w:rsid w:val="70DC62C7"/>
    <w:rsid w:val="71001F2A"/>
    <w:rsid w:val="73A85115"/>
    <w:rsid w:val="776A5008"/>
    <w:rsid w:val="7A3319E9"/>
    <w:rsid w:val="7B4C7417"/>
    <w:rsid w:val="7FAE24CA"/>
    <w:rsid w:val="7FB7473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jc w:val="left"/>
    </w:pPr>
    <w:rPr>
      <w:rFonts w:ascii="宋体" w:hAnsi="宋体" w:cs="宋体"/>
      <w:kern w:val="0"/>
      <w:sz w:val="24"/>
      <w:szCs w:val="24"/>
    </w:rPr>
  </w:style>
  <w:style w:type="character" w:styleId="7">
    <w:name w:val="Hyperlink"/>
    <w:basedOn w:val="6"/>
    <w:qFormat/>
    <w:uiPriority w:val="0"/>
    <w:rPr>
      <w:color w:val="0000FF"/>
      <w:u w:val="single"/>
    </w:r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 w:type="character" w:customStyle="1" w:styleId="10">
    <w:name w:val="row_tree_level_3"/>
    <w:basedOn w:val="6"/>
    <w:qFormat/>
    <w:uiPriority w:val="0"/>
  </w:style>
  <w:style w:type="character" w:customStyle="1" w:styleId="11">
    <w:name w:val="row_tree_level_4"/>
    <w:basedOn w:val="6"/>
    <w:qFormat/>
    <w:uiPriority w:val="0"/>
  </w:style>
  <w:style w:type="paragraph" w:customStyle="1" w:styleId="12">
    <w:name w:val="p0"/>
    <w:basedOn w:val="1"/>
    <w:qFormat/>
    <w:uiPriority w:val="0"/>
    <w:pPr>
      <w:widowControl/>
    </w:pPr>
    <w:rPr>
      <w:rFonts w:ascii="Times New Roman" w:hAnsi="Times New Roman" w:eastAsia="宋体" w:cs="Times New Roman"/>
      <w:kern w:val="0"/>
      <w:szCs w:val="21"/>
    </w:rPr>
  </w:style>
  <w:style w:type="character" w:customStyle="1" w:styleId="13">
    <w:name w:val="15"/>
    <w:basedOn w:val="6"/>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307</Words>
  <Characters>322</Characters>
  <Lines>51</Lines>
  <Paragraphs>14</Paragraphs>
  <TotalTime>14</TotalTime>
  <ScaleCrop>false</ScaleCrop>
  <LinksUpToDate>false</LinksUpToDate>
  <CharactersWithSpaces>336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2015-04-23T05:26:00Z</dcterms:created>
  <dc:creator>NTKO</dc:creator>
  <cp:lastModifiedBy>程昌</cp:lastModifiedBy>
  <cp:lastPrinted>2024-02-05T02:35:00Z</cp:lastPrinted>
  <dcterms:modified xsi:type="dcterms:W3CDTF">2025-02-25T08:27:04Z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26856AD12D2B426282A6CAC3B8845BFD_12</vt:lpwstr>
  </property>
  <property fmtid="{D5CDD505-2E9C-101B-9397-08002B2CF9AE}" pid="4" name="KSOTemplateDocerSaveRecord">
    <vt:lpwstr>eyJoZGlkIjoiNjA5YjE2ZDc4ODJjNTJiNTA4NWFlMjY4Yzc3ZjRkNzIiLCJ1c2VySWQiOiI0Mjc2MzAwNzgifQ==</vt:lpwstr>
  </property>
</Properties>
</file>