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2DCB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rPr>
        <w:t>景德镇市</w:t>
      </w:r>
      <w:r>
        <w:rPr>
          <w:rFonts w:hint="eastAsia" w:ascii="方正小标宋简体" w:hAnsi="方正小标宋简体" w:eastAsia="方正小标宋简体" w:cs="方正小标宋简体"/>
          <w:b w:val="0"/>
          <w:bCs w:val="0"/>
          <w:color w:val="000000"/>
          <w:kern w:val="0"/>
          <w:sz w:val="44"/>
          <w:szCs w:val="44"/>
          <w:lang w:eastAsia="zh-CN"/>
        </w:rPr>
        <w:t>交通运输局2025</w:t>
      </w:r>
      <w:r>
        <w:rPr>
          <w:rFonts w:hint="eastAsia" w:ascii="方正小标宋简体" w:hAnsi="方正小标宋简体" w:eastAsia="方正小标宋简体" w:cs="方正小标宋简体"/>
          <w:b w:val="0"/>
          <w:bCs w:val="0"/>
          <w:color w:val="000000"/>
          <w:kern w:val="0"/>
          <w:sz w:val="44"/>
          <w:szCs w:val="44"/>
        </w:rPr>
        <w:t>年</w:t>
      </w:r>
      <w:r>
        <w:rPr>
          <w:rFonts w:hint="eastAsia" w:ascii="方正小标宋简体" w:hAnsi="方正小标宋简体" w:eastAsia="方正小标宋简体" w:cs="方正小标宋简体"/>
          <w:b w:val="0"/>
          <w:bCs w:val="0"/>
          <w:color w:val="000000"/>
          <w:kern w:val="0"/>
          <w:sz w:val="44"/>
          <w:szCs w:val="44"/>
          <w:lang w:eastAsia="zh-CN"/>
        </w:rPr>
        <w:t>单位</w:t>
      </w:r>
      <w:r>
        <w:rPr>
          <w:rFonts w:hint="eastAsia" w:ascii="方正小标宋简体" w:hAnsi="方正小标宋简体" w:eastAsia="方正小标宋简体" w:cs="方正小标宋简体"/>
          <w:b w:val="0"/>
          <w:bCs w:val="0"/>
          <w:color w:val="000000"/>
          <w:kern w:val="0"/>
          <w:sz w:val="44"/>
          <w:szCs w:val="44"/>
        </w:rPr>
        <w:t>预算</w:t>
      </w:r>
    </w:p>
    <w:p w14:paraId="712743D2">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大标宋简体" w:hAnsi="方正大标宋简体" w:eastAsia="方正大标宋简体" w:cs="方正大标宋简体"/>
          <w:b w:val="0"/>
          <w:bCs w:val="0"/>
          <w:color w:val="000000"/>
          <w:kern w:val="0"/>
          <w:sz w:val="44"/>
          <w:szCs w:val="44"/>
        </w:rPr>
      </w:pPr>
    </w:p>
    <w:p w14:paraId="5F7730C0">
      <w:pPr>
        <w:pStyle w:val="12"/>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目    录</w:t>
      </w:r>
    </w:p>
    <w:p w14:paraId="744466FC">
      <w:pPr>
        <w:pStyle w:val="12"/>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黑体" w:hAnsi="黑体" w:eastAsia="黑体"/>
          <w:color w:val="000000"/>
          <w:sz w:val="32"/>
          <w:szCs w:val="32"/>
        </w:rPr>
      </w:pPr>
    </w:p>
    <w:p w14:paraId="70FEC159">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ascii="仿宋_GB2312" w:eastAsia="仿宋_GB2312"/>
          <w:b/>
          <w:bCs/>
          <w:color w:val="000000"/>
          <w:sz w:val="32"/>
          <w:szCs w:val="32"/>
        </w:rPr>
      </w:pPr>
      <w:r>
        <w:rPr>
          <w:rFonts w:hint="eastAsia" w:ascii="黑体" w:hAnsi="黑体" w:eastAsia="黑体" w:cs="黑体"/>
          <w:b/>
          <w:bCs/>
          <w:color w:val="000000"/>
          <w:sz w:val="32"/>
          <w:szCs w:val="32"/>
        </w:rPr>
        <w:t xml:space="preserve">第一部分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rPr>
        <w:t>景德镇市</w:t>
      </w:r>
      <w:r>
        <w:rPr>
          <w:rFonts w:hint="eastAsia" w:ascii="黑体" w:hAnsi="黑体" w:eastAsia="黑体" w:cs="黑体"/>
          <w:b/>
          <w:bCs/>
          <w:color w:val="000000"/>
          <w:sz w:val="32"/>
          <w:szCs w:val="32"/>
          <w:lang w:eastAsia="zh-CN"/>
        </w:rPr>
        <w:t>交通运输局</w:t>
      </w:r>
      <w:r>
        <w:rPr>
          <w:rFonts w:hint="eastAsia" w:ascii="黑体" w:hAnsi="黑体" w:eastAsia="黑体" w:cs="黑体"/>
          <w:sz w:val="32"/>
          <w:szCs w:val="32"/>
        </w:rPr>
        <w:fldChar w:fldCharType="end"/>
      </w:r>
      <w:r>
        <w:rPr>
          <w:rFonts w:hint="eastAsia" w:ascii="黑体" w:hAnsi="黑体" w:eastAsia="黑体" w:cs="黑体"/>
          <w:b/>
          <w:bCs/>
          <w:color w:val="000000"/>
          <w:sz w:val="32"/>
          <w:szCs w:val="32"/>
        </w:rPr>
        <w:t>概况</w:t>
      </w:r>
    </w:p>
    <w:p w14:paraId="252BD6C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主要职责</w:t>
      </w:r>
    </w:p>
    <w:p w14:paraId="696E1669">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二、机构设置及人员情况</w:t>
      </w:r>
    </w:p>
    <w:p w14:paraId="04B6B2AB">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二</w:t>
      </w:r>
      <w:r>
        <w:rPr>
          <w:rFonts w:hint="eastAsia" w:ascii="黑体" w:hAnsi="黑体" w:eastAsia="黑体" w:cs="黑体"/>
          <w:b/>
          <w:bCs/>
          <w:color w:val="000000"/>
          <w:sz w:val="32"/>
          <w:szCs w:val="32"/>
        </w:rPr>
        <w:t>部分</w:t>
      </w:r>
      <w:r>
        <w:rPr>
          <w:rFonts w:hint="eastAsia" w:ascii="黑体" w:hAnsi="黑体" w:eastAsia="黑体" w:cs="黑体"/>
          <w:b/>
          <w:bCs/>
          <w:color w:val="000000"/>
          <w:sz w:val="32"/>
          <w:szCs w:val="32"/>
          <w:lang w:val="en-US" w:eastAsia="zh-CN"/>
        </w:rPr>
        <w:t xml:space="preserve"> </w:t>
      </w:r>
      <w:r>
        <w:rPr>
          <w:rFonts w:hint="eastAsia" w:ascii="黑体" w:hAnsi="黑体" w:eastAsia="黑体" w:cs="黑体"/>
          <w:b/>
          <w:bCs/>
          <w:color w:val="000000"/>
          <w:sz w:val="32"/>
          <w:szCs w:val="32"/>
        </w:rPr>
        <w:t xml:space="preserve">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rPr>
        <w:t>景德镇市</w:t>
      </w:r>
      <w:r>
        <w:rPr>
          <w:rFonts w:hint="eastAsia" w:ascii="黑体" w:hAnsi="黑体" w:eastAsia="黑体" w:cs="黑体"/>
          <w:b/>
          <w:bCs/>
          <w:color w:val="000000"/>
          <w:sz w:val="32"/>
          <w:szCs w:val="32"/>
          <w:lang w:val="en-US" w:eastAsia="zh-CN"/>
        </w:rPr>
        <w:t>交通运输局</w:t>
      </w:r>
      <w:r>
        <w:rPr>
          <w:rFonts w:hint="eastAsia" w:ascii="黑体" w:hAnsi="黑体" w:eastAsia="黑体" w:cs="黑体"/>
          <w:b/>
          <w:bCs/>
          <w:color w:val="000000"/>
          <w:sz w:val="32"/>
          <w:szCs w:val="32"/>
        </w:rPr>
        <w:fldChar w:fldCharType="end"/>
      </w: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预算表</w:t>
      </w:r>
    </w:p>
    <w:p w14:paraId="50344FD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一、《收支预算总表》</w:t>
      </w:r>
    </w:p>
    <w:p w14:paraId="4F1BA0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收入总表》</w:t>
      </w:r>
    </w:p>
    <w:p w14:paraId="7FB80AC7">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三、《</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支出总表》</w:t>
      </w:r>
    </w:p>
    <w:p w14:paraId="6790BA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四、《财政拨款收支总表》</w:t>
      </w:r>
    </w:p>
    <w:p w14:paraId="7B5003EF">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五、《一般公共预算支出表》</w:t>
      </w:r>
    </w:p>
    <w:p w14:paraId="32E26EFD">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六、《一般公共预算基本支出表》</w:t>
      </w:r>
    </w:p>
    <w:p w14:paraId="5C2C23A5">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七、《财政拨款“三公”经费支出表》</w:t>
      </w:r>
    </w:p>
    <w:p w14:paraId="2E25E71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八、《政府性基金预算支出表》</w:t>
      </w:r>
    </w:p>
    <w:p w14:paraId="07EE8523">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九、《国有资本经营预算支出表》</w:t>
      </w:r>
    </w:p>
    <w:p w14:paraId="0019BA7A">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十、《项目绩效目标表》</w:t>
      </w:r>
    </w:p>
    <w:p w14:paraId="2731E47A">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三</w:t>
      </w:r>
      <w:r>
        <w:rPr>
          <w:rFonts w:hint="eastAsia" w:ascii="黑体" w:hAnsi="黑体" w:eastAsia="黑体" w:cs="黑体"/>
          <w:b/>
          <w:bCs/>
          <w:color w:val="000000"/>
          <w:sz w:val="32"/>
          <w:szCs w:val="32"/>
        </w:rPr>
        <w:t>部分  景德镇市</w:t>
      </w:r>
      <w:r>
        <w:rPr>
          <w:rFonts w:hint="eastAsia" w:ascii="黑体" w:hAnsi="黑体" w:eastAsia="黑体" w:cs="黑体"/>
          <w:b/>
          <w:bCs/>
          <w:color w:val="000000"/>
          <w:sz w:val="32"/>
          <w:szCs w:val="32"/>
          <w:lang w:eastAsia="zh-CN"/>
        </w:rPr>
        <w:t>交通运输局2025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预算情况说明</w:t>
      </w:r>
    </w:p>
    <w:p w14:paraId="19B1535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预算收支情况说明</w:t>
      </w:r>
    </w:p>
    <w:p w14:paraId="7EC2206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年“三公”经费预算情况说明</w:t>
      </w:r>
    </w:p>
    <w:p w14:paraId="5C2F663F">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第四部分  名词解释</w:t>
      </w:r>
    </w:p>
    <w:p w14:paraId="20086EDD">
      <w:pPr>
        <w:rPr>
          <w:rFonts w:hint="eastAsia" w:ascii="黑体" w:hAnsi="黑体" w:eastAsia="黑体" w:cs="黑体"/>
          <w:b/>
          <w:bCs/>
          <w:color w:val="000000"/>
          <w:sz w:val="32"/>
          <w:szCs w:val="32"/>
        </w:rPr>
      </w:pPr>
      <w:r>
        <w:rPr>
          <w:rFonts w:hint="eastAsia" w:ascii="黑体" w:hAnsi="黑体" w:eastAsia="黑体" w:cs="黑体"/>
          <w:b/>
          <w:bCs/>
          <w:color w:val="000000"/>
          <w:sz w:val="32"/>
          <w:szCs w:val="32"/>
        </w:rPr>
        <w:br w:type="page"/>
      </w:r>
    </w:p>
    <w:p w14:paraId="61D28DE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第一部分  景德镇市</w:t>
      </w:r>
      <w:r>
        <w:rPr>
          <w:rFonts w:hint="eastAsia" w:ascii="方正小标宋简体" w:hAnsi="方正小标宋简体" w:eastAsia="方正小标宋简体" w:cs="方正小标宋简体"/>
          <w:b/>
          <w:sz w:val="32"/>
          <w:szCs w:val="30"/>
          <w:lang w:eastAsia="zh-CN"/>
        </w:rPr>
        <w:t>交通运输局</w:t>
      </w:r>
      <w:r>
        <w:rPr>
          <w:rFonts w:hint="eastAsia" w:ascii="方正小标宋简体" w:hAnsi="方正小标宋简体" w:eastAsia="方正小标宋简体" w:cs="方正小标宋简体"/>
          <w:b/>
          <w:sz w:val="32"/>
          <w:szCs w:val="30"/>
        </w:rPr>
        <w:t>概况</w:t>
      </w:r>
    </w:p>
    <w:p w14:paraId="048B803D">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Theme="minorEastAsia" w:hAnsiTheme="minorEastAsia"/>
          <w:b/>
          <w:sz w:val="36"/>
          <w:szCs w:val="36"/>
        </w:rPr>
      </w:pPr>
    </w:p>
    <w:p w14:paraId="02691211">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Theme="minorEastAsia" w:hAnsiTheme="minorEastAsia"/>
          <w:b/>
          <w:sz w:val="36"/>
          <w:szCs w:val="36"/>
        </w:rPr>
      </w:pPr>
      <w:r>
        <w:rPr>
          <w:rFonts w:hint="eastAsia" w:ascii="黑体" w:hAnsi="黑体" w:eastAsia="黑体" w:cs="黑体"/>
          <w:b/>
          <w:sz w:val="32"/>
          <w:szCs w:val="32"/>
        </w:rPr>
        <w:t>一、</w:t>
      </w:r>
      <w:r>
        <w:rPr>
          <w:rFonts w:hint="eastAsia" w:ascii="黑体" w:hAnsi="黑体" w:eastAsia="黑体" w:cs="黑体"/>
          <w:b/>
          <w:sz w:val="32"/>
          <w:szCs w:val="32"/>
          <w:lang w:eastAsia="zh-CN"/>
        </w:rPr>
        <w:t>单位</w:t>
      </w:r>
      <w:r>
        <w:rPr>
          <w:rFonts w:hint="eastAsia" w:ascii="黑体" w:hAnsi="黑体" w:eastAsia="黑体" w:cs="黑体"/>
          <w:b/>
          <w:sz w:val="32"/>
          <w:szCs w:val="32"/>
        </w:rPr>
        <w:t>主要职责</w:t>
      </w:r>
    </w:p>
    <w:p w14:paraId="4A53E26D">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景德镇市交通运输局是主管全市交通运输工作的市政府组成部门。承担的主要职责是：</w:t>
      </w:r>
    </w:p>
    <w:p w14:paraId="72BD7EEB">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（一）贯彻执行国家和省有关交通行业的法律法规和政策，拟订有关地方性政策措施。在全市经济社会发展总体规划框架内，拟定全市公路、水路交通运输及枢纽、站场发展规划及年度计划并组织实施。</w:t>
      </w:r>
    </w:p>
    <w:p w14:paraId="1367D815">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（二）负责提出公路、水路固定资产投资规模和方向、市财政性资金安排意见，按市政府规定权限审批、核准全市规划内和年度计划规模内固定资产投资项目。</w:t>
      </w:r>
    </w:p>
    <w:p w14:paraId="59FDCAE8">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（三）承担道路、水路运输市场监管责任。贯彻执行国家和省道路、水路运输有关政策、准入制度、营运规范、技术标准并监督实施。指导城乡客运及有关设施规划和管理工作。</w:t>
      </w:r>
    </w:p>
    <w:p w14:paraId="39E3792E">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（四）承担公路、水路建设市场监管责任。贯彻执行公路、水路工程建设相关政策、制度、技术标准并监督实施；指导交通运输基础设施管理和维护工作，按规定负责港口规划和岸线使用管理工作。</w:t>
      </w:r>
    </w:p>
    <w:p w14:paraId="54B83C4E">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（五）承担水上交通运输安全监管责任。负责水运运输、港口及渡运安全监督管理、海事管理（船舶检验）工作，负责渔船检验和监督管理工作。</w:t>
      </w:r>
    </w:p>
    <w:p w14:paraId="602893F3">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（六）承担所辖公路路政管理和超限超载治理责任，依法维护路产路权，加强公路保护；指导农村公路养护、管理工作。</w:t>
      </w:r>
    </w:p>
    <w:p w14:paraId="7FEF86BA">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七）负责全市所辖水域的水上交通安全和所辖道路运输企业客货运输安全监管工作，负责道路、水路等交通运输建设工程建设安全生产监督管理工作；指导公路、水路行业安全生产和应急管理工作。按规定组织协调重点物资运输和紧急客货运输。</w:t>
      </w:r>
    </w:p>
    <w:p w14:paraId="13C0A4E4">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（八）指导全市交通运输行业有关体制改革工作；依照法定权限，指导交通运输综合行政执法有关工作；负责处理行业投诉和行业仲裁纠纷；维护交通运输行业平等竞争秩序。</w:t>
      </w:r>
    </w:p>
    <w:p w14:paraId="501DB922">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（九）指导交通运输信息化建设，监测分析运行情况，开展相关统计工作，发布有关信息。负责公路、水路运输行业生态环境保护和节能减排工作，负责船舶及相关水上设施防止污染及污染事故的应急处置工作。</w:t>
      </w:r>
    </w:p>
    <w:p w14:paraId="385F5F04">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（十）承担交通战备及国防动员委员会有关工作。</w:t>
      </w:r>
    </w:p>
    <w:p w14:paraId="5534E4D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Adobe 仿宋 Std R" w:hAnsi="Adobe 仿宋 Std R" w:eastAsia="Adobe 仿宋 Std R"/>
          <w:sz w:val="32"/>
          <w:szCs w:val="30"/>
        </w:rPr>
      </w:pPr>
      <w:r>
        <w:rPr>
          <w:rFonts w:hint="eastAsia" w:ascii="仿宋_GB2312" w:hAnsi="仿宋" w:eastAsia="仿宋_GB2312" w:cs="Times New Roman"/>
          <w:kern w:val="2"/>
          <w:sz w:val="32"/>
          <w:szCs w:val="32"/>
        </w:rPr>
        <w:t>（十一）承办市人民政府交办的其他事项。</w:t>
      </w:r>
    </w:p>
    <w:p w14:paraId="3B9670B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b/>
          <w:sz w:val="36"/>
          <w:szCs w:val="36"/>
        </w:rPr>
      </w:pPr>
      <w:r>
        <w:rPr>
          <w:rFonts w:hint="eastAsia" w:ascii="黑体" w:hAnsi="黑体" w:eastAsia="黑体" w:cs="黑体"/>
          <w:b/>
          <w:sz w:val="32"/>
          <w:szCs w:val="32"/>
        </w:rPr>
        <w:t>二、机构设置及人员情况</w:t>
      </w:r>
    </w:p>
    <w:p w14:paraId="7FB3A4A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2025年景德镇市交通运输局内设科室6个，包括办公室、财务审计科、应急管理科、规划基建科、综合运输科、政务服务科。</w:t>
      </w:r>
    </w:p>
    <w:p w14:paraId="51CCD12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编制人数共计19人，其中：行政编制人数19人、参照公务员管理的事业编制人数0人、全部补助事业编制人数0人、部分补助事业编制人数0人。实有人数共计50人，其中：在职人数小计22人，包括行政在职人数22人、参照公务员管理的事业人员在职人数0人、全部补助事业人员在职人数0人，部分补助事业人员在职人数0人；离休人数小计2人；退休人数小计26人。</w:t>
      </w:r>
    </w:p>
    <w:p w14:paraId="06CEE64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78EE7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170213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69100B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4F31088">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二</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景德镇市交通运输局</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预算表</w:t>
      </w:r>
    </w:p>
    <w:p w14:paraId="0A8406F7">
      <w:pPr>
        <w:keepNext w:val="0"/>
        <w:keepLines w:val="0"/>
        <w:pageBreakBefore w:val="0"/>
        <w:widowControl/>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65420" cy="2984500"/>
            <wp:effectExtent l="0" t="0" r="11430" b="6350"/>
            <wp:docPr id="10" name="图片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
                    <pic:cNvPicPr>
                      <a:picLocks noChangeAspect="1"/>
                    </pic:cNvPicPr>
                  </pic:nvPicPr>
                  <pic:blipFill>
                    <a:blip r:embed="rId5"/>
                    <a:stretch>
                      <a:fillRect/>
                    </a:stretch>
                  </pic:blipFill>
                  <pic:spPr>
                    <a:xfrm>
                      <a:off x="0" y="0"/>
                      <a:ext cx="5265420" cy="298450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5420" cy="3206750"/>
            <wp:effectExtent l="0" t="0" r="11430" b="12700"/>
            <wp:docPr id="9" name="图片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
                    <pic:cNvPicPr>
                      <a:picLocks noChangeAspect="1"/>
                    </pic:cNvPicPr>
                  </pic:nvPicPr>
                  <pic:blipFill>
                    <a:blip r:embed="rId6"/>
                    <a:stretch>
                      <a:fillRect/>
                    </a:stretch>
                  </pic:blipFill>
                  <pic:spPr>
                    <a:xfrm>
                      <a:off x="0" y="0"/>
                      <a:ext cx="5265420" cy="320675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9230" cy="3907155"/>
            <wp:effectExtent l="0" t="0" r="7620" b="17145"/>
            <wp:docPr id="8" name="图片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
                    <pic:cNvPicPr>
                      <a:picLocks noChangeAspect="1"/>
                    </pic:cNvPicPr>
                  </pic:nvPicPr>
                  <pic:blipFill>
                    <a:blip r:embed="rId7"/>
                    <a:stretch>
                      <a:fillRect/>
                    </a:stretch>
                  </pic:blipFill>
                  <pic:spPr>
                    <a:xfrm>
                      <a:off x="0" y="0"/>
                      <a:ext cx="5269230" cy="390715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9230" cy="2068830"/>
            <wp:effectExtent l="0" t="0" r="7620" b="7620"/>
            <wp:docPr id="7" name="图片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
                    <pic:cNvPicPr>
                      <a:picLocks noChangeAspect="1"/>
                    </pic:cNvPicPr>
                  </pic:nvPicPr>
                  <pic:blipFill>
                    <a:blip r:embed="rId8"/>
                    <a:stretch>
                      <a:fillRect/>
                    </a:stretch>
                  </pic:blipFill>
                  <pic:spPr>
                    <a:xfrm>
                      <a:off x="0" y="0"/>
                      <a:ext cx="5269230" cy="206883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6690" cy="3615690"/>
            <wp:effectExtent l="0" t="0" r="10160" b="3810"/>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
                    <pic:cNvPicPr>
                      <a:picLocks noChangeAspect="1"/>
                    </pic:cNvPicPr>
                  </pic:nvPicPr>
                  <pic:blipFill>
                    <a:blip r:embed="rId9"/>
                    <a:stretch>
                      <a:fillRect/>
                    </a:stretch>
                  </pic:blipFill>
                  <pic:spPr>
                    <a:xfrm>
                      <a:off x="0" y="0"/>
                      <a:ext cx="5266690" cy="361569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4776470" cy="5728970"/>
            <wp:effectExtent l="0" t="0" r="5080" b="5080"/>
            <wp:docPr id="5" name="图片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
                    <pic:cNvPicPr>
                      <a:picLocks noChangeAspect="1"/>
                    </pic:cNvPicPr>
                  </pic:nvPicPr>
                  <pic:blipFill>
                    <a:blip r:embed="rId10"/>
                    <a:stretch>
                      <a:fillRect/>
                    </a:stretch>
                  </pic:blipFill>
                  <pic:spPr>
                    <a:xfrm>
                      <a:off x="0" y="0"/>
                      <a:ext cx="4776470" cy="572897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0500" cy="1214755"/>
            <wp:effectExtent l="0" t="0" r="6350" b="4445"/>
            <wp:docPr id="4" name="图片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
                    <pic:cNvPicPr>
                      <a:picLocks noChangeAspect="1"/>
                    </pic:cNvPicPr>
                  </pic:nvPicPr>
                  <pic:blipFill>
                    <a:blip r:embed="rId11"/>
                    <a:stretch>
                      <a:fillRect/>
                    </a:stretch>
                  </pic:blipFill>
                  <pic:spPr>
                    <a:xfrm>
                      <a:off x="0" y="0"/>
                      <a:ext cx="5270500" cy="121475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0500" cy="1419860"/>
            <wp:effectExtent l="0" t="0" r="6350" b="8890"/>
            <wp:docPr id="3" name="图片 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
                    <pic:cNvPicPr>
                      <a:picLocks noChangeAspect="1"/>
                    </pic:cNvPicPr>
                  </pic:nvPicPr>
                  <pic:blipFill>
                    <a:blip r:embed="rId12"/>
                    <a:stretch>
                      <a:fillRect/>
                    </a:stretch>
                  </pic:blipFill>
                  <pic:spPr>
                    <a:xfrm>
                      <a:off x="0" y="0"/>
                      <a:ext cx="5270500" cy="141986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9230" cy="1223645"/>
            <wp:effectExtent l="0" t="0" r="7620" b="14605"/>
            <wp:docPr id="2" name="图片 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
                    <pic:cNvPicPr>
                      <a:picLocks noChangeAspect="1"/>
                    </pic:cNvPicPr>
                  </pic:nvPicPr>
                  <pic:blipFill>
                    <a:blip r:embed="rId13"/>
                    <a:stretch>
                      <a:fillRect/>
                    </a:stretch>
                  </pic:blipFill>
                  <pic:spPr>
                    <a:xfrm>
                      <a:off x="0" y="0"/>
                      <a:ext cx="5269230" cy="122364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3714750" cy="4586605"/>
            <wp:effectExtent l="0" t="0" r="0" b="4445"/>
            <wp:docPr id="1" name="图片 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0"/>
                    <pic:cNvPicPr>
                      <a:picLocks noChangeAspect="1"/>
                    </pic:cNvPicPr>
                  </pic:nvPicPr>
                  <pic:blipFill>
                    <a:blip r:embed="rId14"/>
                    <a:stretch>
                      <a:fillRect/>
                    </a:stretch>
                  </pic:blipFill>
                  <pic:spPr>
                    <a:xfrm>
                      <a:off x="0" y="0"/>
                      <a:ext cx="3714750" cy="4586605"/>
                    </a:xfrm>
                    <a:prstGeom prst="rect">
                      <a:avLst/>
                    </a:prstGeom>
                  </pic:spPr>
                </pic:pic>
              </a:graphicData>
            </a:graphic>
          </wp:inline>
        </w:drawing>
      </w:r>
    </w:p>
    <w:p w14:paraId="7D3AFF2E">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br w:type="page"/>
      </w:r>
    </w:p>
    <w:p w14:paraId="36C3D6F9">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三</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景德镇市交通运输局</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预算情况说明</w:t>
      </w:r>
    </w:p>
    <w:p w14:paraId="710B155E">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仿宋_GB2312" w:eastAsia="仿宋_GB2312"/>
          <w:b/>
          <w:sz w:val="32"/>
          <w:szCs w:val="30"/>
        </w:rPr>
      </w:pPr>
    </w:p>
    <w:p w14:paraId="27A66DE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一、</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单位</w:t>
      </w:r>
      <w:r>
        <w:rPr>
          <w:rFonts w:hint="eastAsia" w:ascii="黑体" w:hAnsi="黑体" w:eastAsia="黑体" w:cs="黑体"/>
          <w:b/>
          <w:sz w:val="32"/>
          <w:szCs w:val="32"/>
        </w:rPr>
        <w:t>预算收支情况说明</w:t>
      </w:r>
    </w:p>
    <w:p w14:paraId="0BBF4E48">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ascii="Adobe 仿宋 Std R" w:hAnsi="Adobe 仿宋 Std R" w:eastAsia="Adobe 仿宋 Std R"/>
          <w:b/>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一</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收入预算情况</w:t>
      </w:r>
    </w:p>
    <w:p w14:paraId="7F064BC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收入预算总额为704.19万元，较上年预算安排减少52.43万元，主要原因是2024年有人员退休，其中：财政拨款收入699.69万元，较上年预算安排减少50.76万元，主要原因是2024年有人员退休；上年结转4.50万元，较上年预算安排增加4.50万元，主要原因是局本级2024年存在未使用完的资金，结转至2025年使用。</w:t>
      </w:r>
    </w:p>
    <w:p w14:paraId="11FA335C">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二</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支出预算情况</w:t>
      </w:r>
    </w:p>
    <w:p w14:paraId="5DBD89A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2025年景德镇市交通运输局支出预算总额为704.19万元，较上年预算安排减少52.43万元，主要原因是2024年有人员退休；其中：</w:t>
      </w:r>
    </w:p>
    <w:p w14:paraId="5F6D6D9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699.69万元，较上年预算安排减少50.76万元；其中：工资福利支出613.34万元，商品和服务支出40.55万元，对个人和家庭的补助40.80万元，资本性支出5.00万元。项目支出4.50万元，较上年预算安排增加4.50万元；其中：商品和服务支出4.50万元。</w:t>
      </w:r>
    </w:p>
    <w:p w14:paraId="5E324C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70.52万元，较上年预算安排减少7.23万元；卫生健康支出28.5万元，较上年预算安排减少2.93万元；交通运输支出560.78万元，较上年预算安排减少42.75万元；资源勘探工业信息等支出4.50万元，较上年预算安排增加4.50万元；住房保障支出39.89万元，较上年预算安排减少4.02万元。</w:t>
      </w:r>
    </w:p>
    <w:p w14:paraId="3B739B4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经济分类划分：工资福利支出613.34万元，较上年预算安排减少38.87万元；商品和服务支出40.55万元，较上年预算安排减少14.25万元；对个人和家庭的补助40.80万元，较上年预算安排减少3.81万元；资本性支出5.00万元，较上年预算安排增加0.00万元；项目支出4.50万元，较上年预算安排增加4.50万元。</w:t>
      </w:r>
    </w:p>
    <w:p w14:paraId="483E6D9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三</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财政拨款支出情况</w:t>
      </w:r>
    </w:p>
    <w:p w14:paraId="43144A4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2025年景德镇市交通运输局财政拨款支出预算总额699.69万元，较上年预算安排减少50.76万元，主要原因是2024年有人员退休；</w:t>
      </w:r>
    </w:p>
    <w:p w14:paraId="6FE62CC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按支出功能科目划分：工资福利支出613.34万元，商品和服务支出40.55万元，对个人和家庭的补助40.80万元，资本性支出5.00万元。</w:t>
      </w:r>
    </w:p>
    <w:p w14:paraId="1345E18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699.69万元，较上年预算安排减少50.76万元；其中：工资福利支出613.34万元，较上年预算安排减少38.87万元；商品和服务支出40.55万元，较上年预算安排减少14.25万元；对个人和家庭的补助40.80万元，较上年预算安排减少3.81万元；资本性支出5.00万元，较上年预算安排增加0.00万元。</w:t>
      </w:r>
    </w:p>
    <w:p w14:paraId="39BEAF3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四</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政府性基金情况</w:t>
      </w:r>
    </w:p>
    <w:p w14:paraId="35DB9F1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本部门没有使用政府性基金预算拨款安排的支出</w:t>
      </w:r>
    </w:p>
    <w:p w14:paraId="722DEFBD">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（五）国有资本经营情况</w:t>
      </w:r>
    </w:p>
    <w:p w14:paraId="371A62D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Style w:val="11"/>
          <w:rFonts w:ascii="仿宋" w:hAnsi="仿宋" w:eastAsia="仿宋"/>
          <w:sz w:val="32"/>
          <w:szCs w:val="32"/>
        </w:rPr>
      </w:pPr>
      <w:r>
        <w:rPr>
          <w:rFonts w:hint="eastAsia" w:ascii="仿宋_GB2312" w:hAnsi="仿宋_GB2312" w:eastAsia="仿宋_GB2312" w:cs="仿宋_GB2312"/>
          <w:kern w:val="2"/>
          <w:sz w:val="32"/>
          <w:szCs w:val="30"/>
          <w:lang w:val="en-US" w:eastAsia="zh-CN" w:bidi="ar-SA"/>
        </w:rPr>
        <w:t>本部门没有使用国有资本经营预算拨款安排的支出</w:t>
      </w:r>
    </w:p>
    <w:p w14:paraId="7FD78BD3">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六</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机关运行经费等重要事项的说明</w:t>
      </w:r>
    </w:p>
    <w:p w14:paraId="7E3BA3D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2025年单位机关运行费预算45.55万元，较上年预算减少9.25万元，下降16.88%，主要原因是</w:t>
      </w:r>
      <w:r>
        <w:rPr>
          <w:rFonts w:hint="eastAsia" w:ascii="仿宋_GB2312" w:hAnsi="仿宋_GB2312" w:eastAsia="仿宋_GB2312" w:cs="仿宋_GB2312"/>
          <w:kern w:val="2"/>
          <w:sz w:val="32"/>
          <w:szCs w:val="30"/>
          <w:u w:val="none"/>
          <w:lang w:val="en-US" w:eastAsia="zh-CN" w:bidi="ar-SA"/>
        </w:rPr>
        <w:t>两人退休一人调出</w:t>
      </w:r>
      <w:r>
        <w:rPr>
          <w:rFonts w:hint="eastAsia" w:ascii="仿宋_GB2312" w:hAnsi="仿宋_GB2312" w:eastAsia="仿宋_GB2312" w:cs="仿宋_GB2312"/>
          <w:kern w:val="2"/>
          <w:sz w:val="32"/>
          <w:szCs w:val="30"/>
          <w:lang w:val="en-US" w:eastAsia="zh-CN" w:bidi="ar-SA"/>
        </w:rPr>
        <w:t>。</w:t>
      </w:r>
    </w:p>
    <w:p w14:paraId="60B9C0D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七</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政府采购情况</w:t>
      </w:r>
    </w:p>
    <w:p w14:paraId="7E22075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2025年景德镇市交通运输局单位所属各单位政府采购总额5.00万元，其中：政府采购货物预算5.00万元，政府采购工程预算0.00万元，政府采购服务预算0.00万元。</w:t>
      </w:r>
    </w:p>
    <w:p w14:paraId="16E98A45">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八</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国有资产占有使用情况</w:t>
      </w:r>
    </w:p>
    <w:p w14:paraId="1790D9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截至2024年8月31日，</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${page400644146.ds532982397_REP_JX_BAS_AGENCY_INFO_ZYFRS_S_CLSYS}</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单位共有车辆0辆；其中：一般业务用车实有数0辆，特殊业务用车实有数0辆，执法执勤用车实有数0辆。</w:t>
      </w:r>
      <w:r>
        <w:rPr>
          <w:rFonts w:hint="eastAsia" w:ascii="仿宋_GB2312" w:hAnsi="仿宋_GB2312" w:eastAsia="仿宋_GB2312" w:cs="仿宋_GB2312"/>
          <w:kern w:val="2"/>
          <w:sz w:val="32"/>
          <w:szCs w:val="30"/>
          <w:lang w:val="en-US" w:eastAsia="zh-CN" w:bidi="ar-SA"/>
        </w:rPr>
        <w:fldChar w:fldCharType="end"/>
      </w:r>
    </w:p>
    <w:p w14:paraId="62B7AB4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2025年单位预算安排购置车辆0辆，安排购置单位价值200万元以上大型设备具体为：未安排购置单位价值200万元以上大型设备。</w:t>
      </w:r>
    </w:p>
    <w:p w14:paraId="455C332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（九）老旧营运货车报废更新</w:t>
      </w:r>
      <w:r>
        <w:rPr>
          <w:rStyle w:val="11"/>
          <w:rFonts w:hint="eastAsia" w:ascii="楷体_GB2312" w:hAnsi="楷体_GB2312" w:eastAsia="楷体_GB2312" w:cs="楷体_GB2312"/>
          <w:b/>
          <w:bCs w:val="0"/>
          <w:sz w:val="32"/>
          <w:szCs w:val="32"/>
          <w:lang w:eastAsia="zh-CN"/>
        </w:rPr>
        <w:t>第二</w:t>
      </w:r>
      <w:r>
        <w:rPr>
          <w:rStyle w:val="11"/>
          <w:rFonts w:hint="eastAsia" w:ascii="楷体_GB2312" w:hAnsi="楷体_GB2312" w:eastAsia="楷体_GB2312" w:cs="楷体_GB2312"/>
          <w:b/>
          <w:bCs w:val="0"/>
          <w:sz w:val="32"/>
          <w:szCs w:val="32"/>
        </w:rPr>
        <w:t>次项目情况说明</w:t>
      </w:r>
    </w:p>
    <w:p w14:paraId="2D2D302E">
      <w:pPr>
        <w:numPr>
          <w:ilvl w:val="0"/>
          <w:numId w:val="1"/>
        </w:numPr>
        <w:jc w:val="left"/>
        <w:rPr>
          <w:rFonts w:ascii="仿宋" w:hAnsi="仿宋" w:eastAsia="仿宋" w:cs="仿宋_GB2312"/>
          <w:sz w:val="32"/>
          <w:szCs w:val="40"/>
        </w:rPr>
      </w:pPr>
      <w:bookmarkStart w:id="0" w:name="_GoBack"/>
      <w:r>
        <w:rPr>
          <w:rFonts w:hint="eastAsia" w:ascii="仿宋" w:hAnsi="仿宋" w:eastAsia="仿宋" w:cs="仿宋_GB2312"/>
          <w:sz w:val="32"/>
          <w:szCs w:val="40"/>
        </w:rPr>
        <w:t>项目概况。</w:t>
      </w:r>
    </w:p>
    <w:p w14:paraId="7131895E">
      <w:pPr>
        <w:ind w:firstLine="640" w:firstLineChars="200"/>
        <w:jc w:val="left"/>
        <w:rPr>
          <w:rFonts w:ascii="仿宋" w:hAnsi="仿宋" w:eastAsia="仿宋" w:cs="仿宋_GB2312"/>
          <w:sz w:val="32"/>
          <w:szCs w:val="40"/>
        </w:rPr>
      </w:pPr>
      <w:r>
        <w:rPr>
          <w:rFonts w:hint="eastAsia" w:ascii="仿宋" w:hAnsi="仿宋" w:eastAsia="仿宋" w:cs="仿宋_GB2312"/>
          <w:sz w:val="32"/>
          <w:szCs w:val="40"/>
        </w:rPr>
        <w:t>老旧营运货车报废更新</w:t>
      </w:r>
      <w:r>
        <w:rPr>
          <w:rFonts w:hint="eastAsia" w:ascii="仿宋" w:hAnsi="仿宋" w:eastAsia="仿宋" w:cs="仿宋_GB2312"/>
          <w:sz w:val="32"/>
          <w:szCs w:val="40"/>
          <w:lang w:eastAsia="zh-CN"/>
        </w:rPr>
        <w:t>第二</w:t>
      </w:r>
      <w:r>
        <w:rPr>
          <w:rFonts w:hint="eastAsia" w:ascii="仿宋" w:hAnsi="仿宋" w:eastAsia="仿宋" w:cs="仿宋_GB2312"/>
          <w:sz w:val="32"/>
          <w:szCs w:val="40"/>
        </w:rPr>
        <w:t>次资金用于持续推进城市公交车电动化替代，支持老旧新能源公交车和动力电池更新换代。年初预算</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万元，实际到账</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万元，全年执行数</w:t>
      </w:r>
      <w:r>
        <w:rPr>
          <w:rFonts w:hint="eastAsia" w:ascii="仿宋" w:hAnsi="仿宋" w:eastAsia="仿宋" w:cs="仿宋_GB2312"/>
          <w:sz w:val="32"/>
          <w:szCs w:val="40"/>
          <w:lang w:val="en-US" w:eastAsia="zh-CN"/>
        </w:rPr>
        <w:t>43.3</w:t>
      </w:r>
      <w:r>
        <w:rPr>
          <w:rFonts w:hint="eastAsia" w:ascii="仿宋" w:hAnsi="仿宋" w:eastAsia="仿宋" w:cs="仿宋_GB2312"/>
          <w:sz w:val="32"/>
          <w:szCs w:val="40"/>
        </w:rPr>
        <w:t>万元，</w:t>
      </w:r>
      <w:r>
        <w:rPr>
          <w:rFonts w:hint="eastAsia" w:ascii="仿宋" w:hAnsi="仿宋" w:eastAsia="仿宋" w:cs="仿宋_GB2312"/>
          <w:sz w:val="32"/>
          <w:szCs w:val="40"/>
          <w:lang w:val="en-US" w:eastAsia="zh-CN"/>
        </w:rPr>
        <w:t>结余4.5万元，结转至2025年拨付，项目资金</w:t>
      </w:r>
      <w:r>
        <w:rPr>
          <w:rFonts w:hint="eastAsia" w:ascii="仿宋" w:hAnsi="仿宋" w:eastAsia="仿宋" w:cs="仿宋_GB2312"/>
          <w:sz w:val="32"/>
          <w:szCs w:val="40"/>
        </w:rPr>
        <w:t>全部用于该项目。</w:t>
      </w:r>
    </w:p>
    <w:p w14:paraId="24A61AA8">
      <w:pPr>
        <w:numPr>
          <w:ilvl w:val="0"/>
          <w:numId w:val="1"/>
        </w:numPr>
        <w:jc w:val="left"/>
        <w:rPr>
          <w:rFonts w:ascii="仿宋" w:hAnsi="仿宋" w:eastAsia="仿宋" w:cs="仿宋_GB2312"/>
          <w:sz w:val="32"/>
          <w:szCs w:val="40"/>
        </w:rPr>
      </w:pPr>
      <w:r>
        <w:rPr>
          <w:rFonts w:hint="eastAsia" w:ascii="仿宋" w:hAnsi="仿宋" w:eastAsia="仿宋" w:cs="仿宋_GB2312"/>
          <w:sz w:val="32"/>
          <w:szCs w:val="40"/>
          <w:lang w:val="en-US" w:eastAsia="zh-CN"/>
        </w:rPr>
        <w:t>立项依据</w:t>
      </w:r>
      <w:r>
        <w:rPr>
          <w:rFonts w:hint="eastAsia" w:ascii="仿宋" w:hAnsi="仿宋" w:eastAsia="仿宋" w:cs="仿宋_GB2312"/>
          <w:sz w:val="32"/>
          <w:szCs w:val="40"/>
        </w:rPr>
        <w:t>。</w:t>
      </w:r>
    </w:p>
    <w:p w14:paraId="7D1B453C">
      <w:p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rPr>
        <w:t>该项目依据《关于下达202</w:t>
      </w:r>
      <w:r>
        <w:rPr>
          <w:rFonts w:hint="eastAsia" w:ascii="仿宋" w:hAnsi="仿宋" w:eastAsia="仿宋" w:cs="仿宋_GB2312"/>
          <w:sz w:val="32"/>
          <w:szCs w:val="40"/>
          <w:lang w:val="en-US" w:eastAsia="zh-CN"/>
        </w:rPr>
        <w:t>4</w:t>
      </w:r>
      <w:r>
        <w:rPr>
          <w:rFonts w:hint="eastAsia" w:ascii="仿宋" w:hAnsi="仿宋" w:eastAsia="仿宋" w:cs="仿宋_GB2312"/>
          <w:sz w:val="32"/>
          <w:szCs w:val="40"/>
        </w:rPr>
        <w:t>年</w:t>
      </w:r>
      <w:r>
        <w:rPr>
          <w:rFonts w:hint="eastAsia" w:ascii="仿宋" w:hAnsi="仿宋" w:eastAsia="仿宋" w:cs="仿宋_GB2312"/>
          <w:sz w:val="32"/>
          <w:szCs w:val="40"/>
          <w:lang w:val="en-US" w:eastAsia="zh-CN"/>
        </w:rPr>
        <w:t>第四批超长期特别国债及省级配套资金支持地方消费品以旧换新（国三及以下老旧营运货车报废更新方向）支出预算</w:t>
      </w:r>
      <w:r>
        <w:rPr>
          <w:rFonts w:hint="eastAsia" w:ascii="仿宋" w:hAnsi="仿宋" w:eastAsia="仿宋" w:cs="仿宋_GB2312"/>
          <w:sz w:val="32"/>
          <w:szCs w:val="40"/>
        </w:rPr>
        <w:t>的通知》</w:t>
      </w:r>
      <w:r>
        <w:rPr>
          <w:rFonts w:hint="eastAsia" w:ascii="仿宋" w:hAnsi="仿宋" w:eastAsia="仿宋" w:cs="仿宋_GB2312"/>
          <w:sz w:val="32"/>
          <w:szCs w:val="40"/>
          <w:lang w:val="en-US" w:eastAsia="zh-CN"/>
        </w:rPr>
        <w:t>景</w:t>
      </w:r>
      <w:r>
        <w:rPr>
          <w:rFonts w:hint="eastAsia" w:ascii="仿宋" w:hAnsi="仿宋" w:eastAsia="仿宋" w:cs="仿宋_GB2312"/>
          <w:sz w:val="32"/>
          <w:szCs w:val="40"/>
        </w:rPr>
        <w:t>财建指〔</w:t>
      </w:r>
      <w:r>
        <w:rPr>
          <w:rFonts w:hint="eastAsia" w:ascii="仿宋" w:hAnsi="仿宋" w:eastAsia="仿宋" w:cs="仿宋_GB2312"/>
          <w:sz w:val="32"/>
          <w:szCs w:val="40"/>
          <w:lang w:val="en-US" w:eastAsia="zh-CN"/>
        </w:rPr>
        <w:t>2024</w:t>
      </w:r>
      <w:r>
        <w:rPr>
          <w:rFonts w:hint="eastAsia" w:ascii="仿宋" w:hAnsi="仿宋" w:eastAsia="仿宋" w:cs="仿宋_GB2312"/>
          <w:sz w:val="32"/>
          <w:szCs w:val="40"/>
        </w:rPr>
        <w:t>〕</w:t>
      </w:r>
      <w:r>
        <w:rPr>
          <w:rFonts w:hint="eastAsia" w:ascii="仿宋" w:hAnsi="仿宋" w:eastAsia="仿宋" w:cs="仿宋_GB2312"/>
          <w:sz w:val="32"/>
          <w:szCs w:val="40"/>
          <w:lang w:val="en-US" w:eastAsia="zh-CN"/>
        </w:rPr>
        <w:t>53</w:t>
      </w:r>
      <w:r>
        <w:rPr>
          <w:rFonts w:hint="eastAsia" w:ascii="仿宋" w:hAnsi="仿宋" w:eastAsia="仿宋" w:cs="仿宋_GB2312"/>
          <w:sz w:val="32"/>
          <w:szCs w:val="40"/>
        </w:rPr>
        <w:t>号，</w:t>
      </w:r>
      <w:r>
        <w:rPr>
          <w:rFonts w:hint="eastAsia" w:ascii="仿宋" w:hAnsi="仿宋" w:eastAsia="仿宋" w:cs="仿宋_GB2312"/>
          <w:sz w:val="32"/>
          <w:szCs w:val="40"/>
          <w:lang w:val="en-US" w:eastAsia="zh-CN"/>
        </w:rPr>
        <w:t>资金投入</w:t>
      </w:r>
      <w:r>
        <w:rPr>
          <w:rFonts w:hint="eastAsia" w:ascii="仿宋" w:hAnsi="仿宋" w:eastAsia="仿宋" w:cs="仿宋_GB2312"/>
          <w:sz w:val="32"/>
          <w:szCs w:val="40"/>
        </w:rPr>
        <w:t>符合上述文件内容和要求。</w:t>
      </w:r>
    </w:p>
    <w:p w14:paraId="27E25A99">
      <w:pPr>
        <w:numPr>
          <w:ilvl w:val="0"/>
          <w:numId w:val="1"/>
        </w:numPr>
        <w:ind w:left="0" w:leftChars="0" w:firstLine="420" w:firstLineChars="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实施主体。</w:t>
      </w:r>
    </w:p>
    <w:p w14:paraId="0A7AA952">
      <w:p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rPr>
        <w:t>该项目</w:t>
      </w:r>
      <w:r>
        <w:rPr>
          <w:rFonts w:hint="eastAsia" w:ascii="仿宋" w:hAnsi="仿宋" w:eastAsia="仿宋" w:cs="仿宋_GB2312"/>
          <w:sz w:val="32"/>
          <w:szCs w:val="40"/>
          <w:lang w:val="en-US" w:eastAsia="zh-CN"/>
        </w:rPr>
        <w:t>由市交通运输局拨付项目资金。</w:t>
      </w:r>
    </w:p>
    <w:p w14:paraId="1EE0C548">
      <w:pPr>
        <w:numPr>
          <w:ilvl w:val="0"/>
          <w:numId w:val="1"/>
        </w:numPr>
        <w:ind w:left="0" w:leftChars="0" w:firstLine="420" w:firstLineChars="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年度预算安排。</w:t>
      </w:r>
    </w:p>
    <w:p w14:paraId="2874597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Style w:val="11"/>
          <w:rFonts w:hint="eastAsia" w:ascii="仿宋_GB2312" w:hAnsi="仿宋_GB2312" w:eastAsia="仿宋_GB2312" w:cs="仿宋_GB2312"/>
          <w:sz w:val="32"/>
          <w:szCs w:val="32"/>
        </w:rPr>
      </w:pPr>
      <w:r>
        <w:rPr>
          <w:rFonts w:hint="eastAsia" w:ascii="仿宋" w:hAnsi="仿宋" w:eastAsia="仿宋" w:cs="仿宋_GB2312"/>
          <w:sz w:val="32"/>
          <w:szCs w:val="40"/>
        </w:rPr>
        <w:t>该项目</w:t>
      </w:r>
      <w:r>
        <w:rPr>
          <w:rFonts w:hint="eastAsia" w:ascii="仿宋" w:hAnsi="仿宋" w:eastAsia="仿宋" w:cs="仿宋_GB2312"/>
          <w:sz w:val="32"/>
          <w:szCs w:val="40"/>
          <w:lang w:val="en-US" w:eastAsia="zh-CN"/>
        </w:rPr>
        <w:t>2024年</w:t>
      </w:r>
      <w:r>
        <w:rPr>
          <w:rFonts w:hint="eastAsia" w:ascii="仿宋" w:hAnsi="仿宋" w:eastAsia="仿宋" w:cs="仿宋_GB2312"/>
          <w:sz w:val="32"/>
          <w:szCs w:val="40"/>
        </w:rPr>
        <w:t>年初预算</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万元，实际</w:t>
      </w:r>
      <w:r>
        <w:rPr>
          <w:rFonts w:hint="eastAsia" w:ascii="仿宋" w:hAnsi="仿宋" w:eastAsia="仿宋" w:cs="仿宋_GB2312"/>
          <w:sz w:val="32"/>
          <w:szCs w:val="40"/>
          <w:lang w:val="en-US" w:eastAsia="zh-CN"/>
        </w:rPr>
        <w:t>2024年</w:t>
      </w:r>
      <w:r>
        <w:rPr>
          <w:rFonts w:hint="eastAsia" w:ascii="仿宋" w:hAnsi="仿宋" w:eastAsia="仿宋" w:cs="仿宋_GB2312"/>
          <w:sz w:val="32"/>
          <w:szCs w:val="40"/>
        </w:rPr>
        <w:t>到账</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w:t>
      </w:r>
      <w:r>
        <w:rPr>
          <w:rFonts w:hint="eastAsia" w:ascii="仿宋" w:hAnsi="仿宋" w:eastAsia="仿宋" w:cs="仿宋_GB2312"/>
          <w:sz w:val="32"/>
          <w:szCs w:val="40"/>
          <w:lang w:val="en-US" w:eastAsia="zh-CN"/>
        </w:rPr>
        <w:t>2024</w:t>
      </w:r>
      <w:r>
        <w:rPr>
          <w:rFonts w:hint="eastAsia" w:ascii="仿宋" w:hAnsi="仿宋" w:eastAsia="仿宋" w:cs="仿宋_GB2312"/>
          <w:sz w:val="32"/>
          <w:szCs w:val="40"/>
        </w:rPr>
        <w:t>年执行数</w:t>
      </w:r>
      <w:r>
        <w:rPr>
          <w:rFonts w:hint="eastAsia" w:ascii="仿宋" w:hAnsi="仿宋" w:eastAsia="仿宋" w:cs="仿宋_GB2312"/>
          <w:sz w:val="32"/>
          <w:szCs w:val="40"/>
          <w:lang w:val="en-US" w:eastAsia="zh-CN"/>
        </w:rPr>
        <w:t>43.3</w:t>
      </w:r>
      <w:r>
        <w:rPr>
          <w:rFonts w:hint="eastAsia" w:ascii="仿宋" w:hAnsi="仿宋" w:eastAsia="仿宋" w:cs="仿宋_GB2312"/>
          <w:sz w:val="32"/>
          <w:szCs w:val="40"/>
        </w:rPr>
        <w:t>万元，</w:t>
      </w:r>
      <w:r>
        <w:rPr>
          <w:rFonts w:hint="eastAsia" w:ascii="仿宋" w:hAnsi="仿宋" w:eastAsia="仿宋" w:cs="仿宋_GB2312"/>
          <w:sz w:val="32"/>
          <w:szCs w:val="40"/>
          <w:lang w:val="en-US" w:eastAsia="zh-CN"/>
        </w:rPr>
        <w:t>结余4.5万元，结转至2025年，由市交通运输局继续拨付。</w:t>
      </w:r>
      <w:bookmarkEnd w:id="0"/>
    </w:p>
    <w:p w14:paraId="5EA2B8EF">
      <w:pPr>
        <w:keepNext w:val="0"/>
        <w:keepLines w:val="0"/>
        <w:pageBreakBefore w:val="0"/>
        <w:kinsoku/>
        <w:wordWrap/>
        <w:overflowPunct/>
        <w:topLinePunct w:val="0"/>
        <w:autoSpaceDE/>
        <w:autoSpaceDN/>
        <w:bidi w:val="0"/>
        <w:adjustRightInd/>
        <w:snapToGrid/>
        <w:spacing w:line="600" w:lineRule="exact"/>
        <w:ind w:firstLine="642"/>
        <w:jc w:val="both"/>
        <w:textAlignment w:val="auto"/>
        <w:rPr>
          <w:rFonts w:ascii="Adobe 仿宋 Std R" w:hAnsi="Adobe 仿宋 Std R" w:eastAsia="Adobe 仿宋 Std R"/>
          <w:sz w:val="32"/>
          <w:szCs w:val="32"/>
        </w:rPr>
      </w:pPr>
    </w:p>
    <w:p w14:paraId="7516F99A">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二、</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w:t>
      </w:r>
      <w:r>
        <w:rPr>
          <w:rFonts w:hint="eastAsia" w:ascii="黑体" w:hAnsi="黑体" w:eastAsia="黑体" w:cs="黑体"/>
          <w:b/>
          <w:sz w:val="32"/>
          <w:szCs w:val="32"/>
        </w:rPr>
        <w:t>三公</w:t>
      </w:r>
      <w:r>
        <w:rPr>
          <w:rFonts w:hint="eastAsia" w:ascii="黑体" w:hAnsi="黑体" w:eastAsia="黑体" w:cs="黑体"/>
          <w:b/>
          <w:sz w:val="32"/>
          <w:szCs w:val="32"/>
          <w:lang w:eastAsia="zh-CN"/>
        </w:rPr>
        <w:t>”</w:t>
      </w:r>
      <w:r>
        <w:rPr>
          <w:rFonts w:hint="eastAsia" w:ascii="黑体" w:hAnsi="黑体" w:eastAsia="黑体" w:cs="黑体"/>
          <w:b/>
          <w:sz w:val="32"/>
          <w:szCs w:val="32"/>
        </w:rPr>
        <w:t>经费预算情况说明</w:t>
      </w:r>
    </w:p>
    <w:p w14:paraId="7493A02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${page400644146.ds215660413_REP_JXJC_AGENCY_WZR_NAME}</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景德镇市交通运输局</w:t>
      </w:r>
      <w:r>
        <w:rPr>
          <w:rFonts w:hint="eastAsia" w:ascii="仿宋_GB2312" w:hAnsi="仿宋_GB2312" w:eastAsia="仿宋_GB2312" w:cs="仿宋_GB2312"/>
          <w:kern w:val="2"/>
          <w:sz w:val="32"/>
          <w:szCs w:val="30"/>
          <w:lang w:val="en-US" w:eastAsia="zh-CN" w:bidi="ar-SA"/>
        </w:rPr>
        <w:fldChar w:fldCharType="end"/>
      </w:r>
      <w:r>
        <w:rPr>
          <w:rFonts w:hint="eastAsia" w:ascii="仿宋_GB2312" w:hAnsi="仿宋_GB2312" w:eastAsia="仿宋_GB2312" w:cs="仿宋_GB2312"/>
          <w:kern w:val="2"/>
          <w:sz w:val="32"/>
          <w:szCs w:val="30"/>
          <w:lang w:val="en-US" w:eastAsia="zh-CN" w:bidi="ar-SA"/>
        </w:rPr>
        <w:t>“三公”经费财政拨款安排3.00万元，其中：</w:t>
      </w:r>
    </w:p>
    <w:p w14:paraId="1AF4ABC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因公出国（境）费用0.00万元，比上年增加0.00万元，主要原因是：与上年安排保持一致。</w:t>
      </w:r>
    </w:p>
    <w:p w14:paraId="6E3CDF3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公务接待费3.00万元，比上年增加0.00万元，主要原因是：与上年安排保持一致。</w:t>
      </w:r>
    </w:p>
    <w:p w14:paraId="30FDD8D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公务用车运行维护费0.00万元，比上年增加0.00万元，主要原因是：与上年安排保持一致。</w:t>
      </w:r>
    </w:p>
    <w:p w14:paraId="7639A026">
      <w:pPr>
        <w:ind w:firstLine="640" w:firstLineChars="200"/>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公务用车购置费0.00万元，比上年增加0.00万元，主要原因是：与上年安排保持一致。</w:t>
      </w:r>
      <w:r>
        <w:rPr>
          <w:rFonts w:hint="eastAsia" w:ascii="仿宋_GB2312" w:hAnsi="仿宋_GB2312" w:eastAsia="仿宋_GB2312" w:cs="仿宋_GB2312"/>
          <w:kern w:val="2"/>
          <w:sz w:val="32"/>
          <w:szCs w:val="30"/>
          <w:lang w:val="en-US" w:eastAsia="zh-CN" w:bidi="ar-SA"/>
        </w:rPr>
        <w:br w:type="page"/>
      </w:r>
    </w:p>
    <w:p w14:paraId="324614D0">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r>
        <w:rPr>
          <w:rFonts w:hint="eastAsia" w:ascii="方正小标宋简体" w:hAnsi="方正小标宋简体" w:eastAsia="方正小标宋简体" w:cs="方正小标宋简体"/>
          <w:b/>
          <w:sz w:val="32"/>
          <w:szCs w:val="30"/>
        </w:rPr>
        <w:t>第四部分   名词解释</w:t>
      </w:r>
    </w:p>
    <w:p w14:paraId="6D80C422">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both"/>
        <w:textAlignment w:val="auto"/>
        <w:rPr>
          <w:rFonts w:hint="eastAsia" w:ascii="方正小标宋简体" w:hAnsi="方正小标宋简体" w:eastAsia="方正小标宋简体" w:cs="方正小标宋简体"/>
          <w:b/>
          <w:sz w:val="32"/>
          <w:szCs w:val="30"/>
        </w:rPr>
      </w:pPr>
    </w:p>
    <w:p w14:paraId="0011541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一、收入科目</w:t>
      </w:r>
    </w:p>
    <w:p w14:paraId="77EB9CA4">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ascii="仿宋_GB2312" w:hAnsi="Times New Roman" w:eastAsia="仿宋_GB2312" w:cs="Times New Roman"/>
          <w:color w:val="000000"/>
          <w:sz w:val="32"/>
          <w:szCs w:val="30"/>
        </w:rPr>
      </w:pPr>
      <w:r>
        <w:rPr>
          <w:rStyle w:val="11"/>
          <w:rFonts w:hint="eastAsia" w:ascii="楷体_GB2312" w:hAnsi="楷体_GB2312" w:eastAsia="楷体_GB2312" w:cs="楷体_GB2312"/>
          <w:b/>
          <w:bCs w:val="0"/>
          <w:sz w:val="32"/>
          <w:szCs w:val="32"/>
          <w:lang w:val="en-US" w:eastAsia="zh-CN"/>
        </w:rPr>
        <w:t>（一）</w:t>
      </w:r>
      <w:r>
        <w:rPr>
          <w:rStyle w:val="11"/>
          <w:rFonts w:hint="eastAsia" w:ascii="楷体_GB2312" w:hAnsi="楷体_GB2312" w:eastAsia="楷体_GB2312" w:cs="楷体_GB2312"/>
          <w:b/>
          <w:bCs w:val="0"/>
          <w:sz w:val="32"/>
          <w:szCs w:val="32"/>
        </w:rPr>
        <w:t>财政拨款：</w:t>
      </w:r>
      <w:r>
        <w:rPr>
          <w:rFonts w:hint="eastAsia" w:ascii="仿宋_GB2312" w:hAnsi="仿宋_GB2312" w:eastAsia="仿宋_GB2312" w:cs="仿宋_GB2312"/>
          <w:kern w:val="2"/>
          <w:sz w:val="32"/>
          <w:szCs w:val="30"/>
          <w:lang w:val="en-US" w:eastAsia="zh-CN" w:bidi="ar-SA"/>
        </w:rPr>
        <w:t>指市级财政当年拨付的资金。</w:t>
      </w:r>
    </w:p>
    <w:p w14:paraId="097C3E40">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二</w:t>
      </w:r>
      <w:r>
        <w:rPr>
          <w:rStyle w:val="11"/>
          <w:rFonts w:hint="eastAsia" w:ascii="楷体_GB2312" w:hAnsi="楷体_GB2312" w:eastAsia="楷体_GB2312" w:cs="楷体_GB2312"/>
          <w:b/>
          <w:bCs w:val="0"/>
          <w:sz w:val="32"/>
          <w:szCs w:val="32"/>
        </w:rPr>
        <w:t>）事业收入：</w:t>
      </w:r>
      <w:r>
        <w:rPr>
          <w:rFonts w:hint="eastAsia" w:ascii="仿宋_GB2312" w:hAnsi="仿宋_GB2312" w:eastAsia="仿宋_GB2312" w:cs="仿宋_GB2312"/>
          <w:kern w:val="2"/>
          <w:sz w:val="32"/>
          <w:szCs w:val="30"/>
          <w:lang w:val="en-US" w:eastAsia="zh-CN" w:bidi="ar-SA"/>
        </w:rPr>
        <w:t>指事业单位开展专业业务活动及辅助活动取得的收入。</w:t>
      </w:r>
    </w:p>
    <w:p w14:paraId="7C775FA7">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ascii="仿宋_GB2312" w:eastAsia="仿宋_GB2312"/>
          <w:color w:val="000000"/>
          <w:sz w:val="32"/>
          <w:szCs w:val="30"/>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三</w:t>
      </w:r>
      <w:r>
        <w:rPr>
          <w:rStyle w:val="11"/>
          <w:rFonts w:hint="eastAsia" w:ascii="楷体_GB2312" w:hAnsi="楷体_GB2312" w:eastAsia="楷体_GB2312" w:cs="楷体_GB2312"/>
          <w:b/>
          <w:bCs w:val="0"/>
          <w:sz w:val="32"/>
          <w:szCs w:val="32"/>
        </w:rPr>
        <w:t>）事业单位经营收入：</w:t>
      </w:r>
      <w:r>
        <w:rPr>
          <w:rFonts w:hint="eastAsia" w:ascii="仿宋_GB2312" w:hAnsi="仿宋_GB2312" w:eastAsia="仿宋_GB2312" w:cs="仿宋_GB2312"/>
          <w:kern w:val="2"/>
          <w:sz w:val="32"/>
          <w:szCs w:val="30"/>
          <w:lang w:val="en-US" w:eastAsia="zh-CN" w:bidi="ar-SA"/>
        </w:rPr>
        <w:t>指事业单位在专业业务活动及辅助活动之外开展非独立核算经营活动取得的收入。</w:t>
      </w:r>
    </w:p>
    <w:p w14:paraId="0113F729">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四</w:t>
      </w:r>
      <w:r>
        <w:rPr>
          <w:rStyle w:val="11"/>
          <w:rFonts w:hint="eastAsia" w:ascii="楷体_GB2312" w:hAnsi="楷体_GB2312" w:eastAsia="楷体_GB2312" w:cs="楷体_GB2312"/>
          <w:b/>
          <w:bCs w:val="0"/>
          <w:sz w:val="32"/>
          <w:szCs w:val="32"/>
        </w:rPr>
        <w:t>）其他收入：</w:t>
      </w:r>
      <w:r>
        <w:rPr>
          <w:rFonts w:hint="eastAsia" w:ascii="仿宋_GB2312" w:hAnsi="仿宋_GB2312" w:eastAsia="仿宋_GB2312" w:cs="仿宋_GB2312"/>
          <w:kern w:val="2"/>
          <w:sz w:val="32"/>
          <w:szCs w:val="30"/>
          <w:lang w:val="en-US" w:eastAsia="zh-CN" w:bidi="ar-SA"/>
        </w:rPr>
        <w:t>指除财政拨款、事业收入、事业单位经营收入等以外的各项收入。</w:t>
      </w:r>
    </w:p>
    <w:p w14:paraId="62D5CC8D">
      <w:pPr>
        <w:pStyle w:val="4"/>
        <w:spacing w:line="600" w:lineRule="exact"/>
        <w:ind w:firstLine="645"/>
        <w:jc w:val="both"/>
        <w:rPr>
          <w:rFonts w:hint="eastAsia" w:ascii="仿宋_GB2312" w:hAnsi="仿宋" w:eastAsia="仿宋_GB2312" w:cs="Times New Roman"/>
          <w:kern w:val="2"/>
          <w:sz w:val="32"/>
          <w:szCs w:val="32"/>
        </w:rPr>
      </w:pPr>
      <w:r>
        <w:rPr>
          <w:rStyle w:val="11"/>
          <w:rFonts w:hint="eastAsia" w:ascii="楷体_GB2312" w:hAnsi="楷体_GB2312" w:eastAsia="楷体_GB2312" w:cs="楷体_GB2312"/>
          <w:b/>
          <w:bCs w:val="0"/>
          <w:kern w:val="2"/>
          <w:sz w:val="32"/>
          <w:szCs w:val="32"/>
          <w:lang w:val="en-US" w:eastAsia="zh-CN" w:bidi="ar-SA"/>
        </w:rPr>
        <w:t>（五）附属单位上缴收入：</w:t>
      </w:r>
      <w:r>
        <w:rPr>
          <w:rFonts w:hint="eastAsia" w:ascii="仿宋_GB2312" w:hAnsi="仿宋" w:eastAsia="仿宋_GB2312" w:cs="Times New Roman"/>
          <w:kern w:val="2"/>
          <w:sz w:val="32"/>
          <w:szCs w:val="32"/>
        </w:rPr>
        <w:t>反映事业单位附属的独立核算单位按规定标准或比例缴纳的各项收入。包括附属的事业单位上缴的收入和附属的企业上缴的利润等。</w:t>
      </w:r>
    </w:p>
    <w:p w14:paraId="35125F4B">
      <w:pPr>
        <w:pStyle w:val="4"/>
        <w:spacing w:line="600" w:lineRule="exact"/>
        <w:ind w:firstLine="645"/>
        <w:jc w:val="both"/>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kern w:val="2"/>
          <w:sz w:val="32"/>
          <w:szCs w:val="32"/>
          <w:lang w:val="en-US" w:eastAsia="zh-CN" w:bidi="ar-SA"/>
        </w:rPr>
        <w:t>（六）上级补助收入：</w:t>
      </w:r>
      <w:r>
        <w:rPr>
          <w:rFonts w:hint="eastAsia" w:ascii="仿宋_GB2312" w:hAnsi="仿宋" w:eastAsia="仿宋_GB2312" w:cs="Times New Roman"/>
          <w:kern w:val="2"/>
          <w:sz w:val="32"/>
          <w:szCs w:val="32"/>
        </w:rPr>
        <w:t>反映事业单位从主管部门和上级单位取得的非财政补助收入。</w:t>
      </w:r>
    </w:p>
    <w:p w14:paraId="3194FC81">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七</w:t>
      </w:r>
      <w:r>
        <w:rPr>
          <w:rStyle w:val="11"/>
          <w:rFonts w:hint="eastAsia" w:ascii="楷体_GB2312" w:hAnsi="楷体_GB2312" w:eastAsia="楷体_GB2312" w:cs="楷体_GB2312"/>
          <w:b/>
          <w:bCs w:val="0"/>
          <w:sz w:val="32"/>
          <w:szCs w:val="32"/>
        </w:rPr>
        <w:t>）使用非财政拨款结余：</w:t>
      </w:r>
      <w:r>
        <w:rPr>
          <w:rFonts w:hint="eastAsia" w:ascii="仿宋_GB2312" w:hAnsi="仿宋_GB2312" w:eastAsia="仿宋_GB2312" w:cs="仿宋_GB2312"/>
          <w:kern w:val="2"/>
          <w:sz w:val="32"/>
          <w:szCs w:val="30"/>
          <w:lang w:val="en-US" w:eastAsia="zh-CN" w:bidi="ar-SA"/>
        </w:rPr>
        <w:t>填列历年滚存的非限定用途的非统计财政拨款结余弥补2025年收支差额的数额。</w:t>
      </w:r>
    </w:p>
    <w:p w14:paraId="4C41ED10">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八</w:t>
      </w:r>
      <w:r>
        <w:rPr>
          <w:rStyle w:val="11"/>
          <w:rFonts w:hint="eastAsia" w:ascii="楷体_GB2312" w:hAnsi="楷体_GB2312" w:eastAsia="楷体_GB2312" w:cs="楷体_GB2312"/>
          <w:b/>
          <w:bCs w:val="0"/>
          <w:sz w:val="32"/>
          <w:szCs w:val="32"/>
        </w:rPr>
        <w:t>）上年结转和结余：</w:t>
      </w:r>
      <w:r>
        <w:rPr>
          <w:rFonts w:hint="eastAsia" w:ascii="仿宋_GB2312" w:hAnsi="仿宋_GB2312" w:eastAsia="仿宋_GB2312" w:cs="仿宋_GB2312"/>
          <w:kern w:val="2"/>
          <w:sz w:val="32"/>
          <w:szCs w:val="30"/>
          <w:lang w:val="en-US" w:eastAsia="zh-CN" w:bidi="ar-SA"/>
        </w:rPr>
        <w:t>填列2024年全部结转和结余的资金数，包括当年结转结余资金和历年滚存结转结余资金。</w:t>
      </w:r>
    </w:p>
    <w:p w14:paraId="4A37F39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198DD76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二、支出科目</w:t>
      </w:r>
    </w:p>
    <w:p w14:paraId="5E69382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eastAsia="zh-CN"/>
        </w:rPr>
        <w:t>一</w:t>
      </w:r>
      <w:r>
        <w:rPr>
          <w:rFonts w:hint="eastAsia" w:ascii="仿宋_GB2312" w:eastAsia="仿宋_GB2312"/>
          <w:b/>
          <w:bCs/>
          <w:color w:val="000000"/>
          <w:sz w:val="32"/>
          <w:szCs w:val="30"/>
        </w:rPr>
        <w:t>）社会保障和就业支出（类）行政事业单位养老支出（款）</w:t>
      </w:r>
    </w:p>
    <w:p w14:paraId="3CC45C7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1. 机关事业单位基本养老保险缴费支出（项）：反映机关事业单位实施养老保险制度由单位缴纳的基本养老保险费支出；</w:t>
      </w:r>
    </w:p>
    <w:p w14:paraId="1D1B4E9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2. 机关事业单位职业年金缴费支出（项）：反映机关事业单位实施养老保险制度由单位实际缴纳的职业年金支出（含职业年金补记支出）。</w:t>
      </w:r>
    </w:p>
    <w:p w14:paraId="3B2DF16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val="en-US" w:eastAsia="zh-CN"/>
        </w:rPr>
        <w:t>（二）卫生健康支出</w:t>
      </w:r>
      <w:r>
        <w:rPr>
          <w:rFonts w:hint="eastAsia" w:ascii="仿宋_GB2312" w:eastAsia="仿宋_GB2312"/>
          <w:b/>
          <w:bCs/>
          <w:color w:val="000000"/>
          <w:sz w:val="32"/>
          <w:szCs w:val="30"/>
        </w:rPr>
        <w:t>（类）行政事业单位医疗（款）</w:t>
      </w:r>
    </w:p>
    <w:p w14:paraId="71EC3C2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3</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行政单位医疗</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反映财政部门安排的行政单位（包括实行公务员管理的事业单位，下同）基本医疗保险缴费经费，未参加医疗保险的行政单位的公费医疗经费，按国家规定享受离休人员、红军老战士待遇人员的医疗经费。</w:t>
      </w:r>
    </w:p>
    <w:p w14:paraId="3D125F4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4</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事业单位医疗</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反映财政部门安排的事业基本医疗保险缴费经费，未参加医疗保险的事业单位的公费医疗经费，按国家规定享受离休人员待遇的医疗经费。</w:t>
      </w:r>
    </w:p>
    <w:p w14:paraId="5D73EE8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5</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公务员医疗补助</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反映财政部门安排的公务员医疗补助经费。</w:t>
      </w:r>
    </w:p>
    <w:p w14:paraId="63D3A77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6</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其他行政事业单位医疗支出</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反映除上述项目以外的其他用于行政事业单位医疗方面的支出。</w:t>
      </w:r>
    </w:p>
    <w:p w14:paraId="540E703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val="en-US" w:eastAsia="zh-CN"/>
        </w:rPr>
        <w:t>（三）交通运输支出</w:t>
      </w:r>
      <w:r>
        <w:rPr>
          <w:rFonts w:hint="eastAsia" w:ascii="仿宋_GB2312" w:eastAsia="仿宋_GB2312"/>
          <w:b/>
          <w:bCs/>
          <w:color w:val="000000"/>
          <w:sz w:val="32"/>
          <w:szCs w:val="30"/>
        </w:rPr>
        <w:t>（类）</w:t>
      </w:r>
      <w:r>
        <w:rPr>
          <w:rFonts w:hint="eastAsia" w:ascii="仿宋_GB2312" w:eastAsia="仿宋_GB2312"/>
          <w:b/>
          <w:bCs/>
          <w:color w:val="000000"/>
          <w:sz w:val="32"/>
          <w:szCs w:val="30"/>
          <w:lang w:val="en-US" w:eastAsia="zh-CN"/>
        </w:rPr>
        <w:t>公路水路运输</w:t>
      </w:r>
      <w:r>
        <w:rPr>
          <w:rFonts w:hint="eastAsia" w:ascii="仿宋_GB2312" w:eastAsia="仿宋_GB2312"/>
          <w:b/>
          <w:bCs/>
          <w:color w:val="000000"/>
          <w:sz w:val="32"/>
          <w:szCs w:val="30"/>
        </w:rPr>
        <w:t>（款）</w:t>
      </w:r>
    </w:p>
    <w:p w14:paraId="605CF74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7</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行政运行</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反映行政单位（包括实行公务员管理的事业单位）的基本支出。</w:t>
      </w:r>
    </w:p>
    <w:p w14:paraId="682FD9E4">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eastAsia="zh-CN"/>
        </w:rPr>
        <w:t>（</w:t>
      </w:r>
      <w:r>
        <w:rPr>
          <w:rFonts w:hint="eastAsia" w:ascii="仿宋_GB2312" w:eastAsia="仿宋_GB2312"/>
          <w:b/>
          <w:bCs/>
          <w:color w:val="000000"/>
          <w:sz w:val="32"/>
          <w:szCs w:val="30"/>
          <w:lang w:val="en-US" w:eastAsia="zh-CN"/>
        </w:rPr>
        <w:t>四</w:t>
      </w:r>
      <w:r>
        <w:rPr>
          <w:rFonts w:hint="eastAsia" w:ascii="仿宋_GB2312" w:eastAsia="仿宋_GB2312"/>
          <w:b/>
          <w:bCs/>
          <w:color w:val="000000"/>
          <w:sz w:val="32"/>
          <w:szCs w:val="30"/>
          <w:lang w:eastAsia="zh-CN"/>
        </w:rPr>
        <w:t>）</w:t>
      </w:r>
      <w:r>
        <w:rPr>
          <w:rFonts w:hint="eastAsia" w:ascii="仿宋_GB2312" w:eastAsia="仿宋_GB2312"/>
          <w:b/>
          <w:bCs/>
          <w:color w:val="000000"/>
          <w:sz w:val="32"/>
          <w:szCs w:val="30"/>
        </w:rPr>
        <w:t>住房保障支出（类）住房改革支出（款）</w:t>
      </w:r>
    </w:p>
    <w:p w14:paraId="5B091C3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仿宋_GB2312" w:eastAsia="仿宋_GB2312"/>
          <w:color w:val="000000"/>
          <w:sz w:val="32"/>
          <w:szCs w:val="30"/>
        </w:rPr>
      </w:pPr>
      <w:r>
        <w:rPr>
          <w:rFonts w:hint="eastAsia" w:ascii="仿宋_GB2312" w:eastAsia="仿宋_GB2312"/>
          <w:color w:val="000000"/>
          <w:sz w:val="32"/>
          <w:szCs w:val="30"/>
          <w:lang w:val="en-US" w:eastAsia="zh-CN"/>
        </w:rPr>
        <w:t>8</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住房公积金</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反映行政事业单位按人力资源和社会保障部、财政部规定的基本工资和津补贴以及规定比例为职工缴纳的住房公积金。</w:t>
      </w:r>
    </w:p>
    <w:p w14:paraId="43BA9D4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三、相关专业名词</w:t>
      </w:r>
    </w:p>
    <w:p w14:paraId="063AC63F">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（一）机关运行费：</w:t>
      </w:r>
      <w:r>
        <w:rPr>
          <w:rFonts w:hint="eastAsia" w:ascii="仿宋_GB2312" w:hAnsi="仿宋_GB2312" w:eastAsia="仿宋_GB2312" w:cs="仿宋_GB2312"/>
          <w:kern w:val="2"/>
          <w:sz w:val="32"/>
          <w:szCs w:val="30"/>
          <w:lang w:val="en-US" w:eastAsia="zh-CN" w:bidi="ar-SA"/>
        </w:rPr>
        <w:t>指用一般公共预算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75F51648">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仿宋" w:hAnsi="仿宋" w:eastAsia="仿宋"/>
          <w:color w:val="000000"/>
          <w:sz w:val="32"/>
          <w:szCs w:val="32"/>
        </w:rPr>
      </w:pPr>
      <w:r>
        <w:rPr>
          <w:rStyle w:val="11"/>
          <w:rFonts w:hint="eastAsia" w:ascii="楷体_GB2312" w:hAnsi="楷体_GB2312" w:eastAsia="楷体_GB2312" w:cs="楷体_GB2312"/>
          <w:b/>
          <w:bCs w:val="0"/>
          <w:sz w:val="32"/>
          <w:szCs w:val="32"/>
        </w:rPr>
        <w:t>（二）“三公”经费：</w:t>
      </w:r>
      <w:r>
        <w:rPr>
          <w:rFonts w:hint="eastAsia" w:ascii="仿宋_GB2312" w:hAnsi="仿宋_GB2312" w:eastAsia="仿宋_GB2312" w:cs="仿宋_GB2312"/>
          <w:kern w:val="2"/>
          <w:sz w:val="32"/>
          <w:szCs w:val="30"/>
          <w:lang w:val="en-US" w:eastAsia="zh-CN" w:bidi="ar-SA"/>
        </w:rPr>
        <w:t>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大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6F28">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041C08"/>
    <w:multiLevelType w:val="singleLevel"/>
    <w:tmpl w:val="6D041C08"/>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Q3YWNmZWRmNmZhZGUxYmY3ZDJjYjM1ZWVjNjgxNzEifQ=="/>
    <w:docVar w:name="KSO_WPS_MARK_KEY" w:val="dc1af74b-1abe-4496-b965-79deeb27cc8e"/>
  </w:docVars>
  <w:rsids>
    <w:rsidRoot w:val="00DF43D8"/>
    <w:rsid w:val="000001B2"/>
    <w:rsid w:val="00014049"/>
    <w:rsid w:val="0001648A"/>
    <w:rsid w:val="00022CB3"/>
    <w:rsid w:val="00031749"/>
    <w:rsid w:val="00041EAA"/>
    <w:rsid w:val="000501C3"/>
    <w:rsid w:val="00055F20"/>
    <w:rsid w:val="000630BE"/>
    <w:rsid w:val="0006515E"/>
    <w:rsid w:val="00085227"/>
    <w:rsid w:val="0009034E"/>
    <w:rsid w:val="000927A9"/>
    <w:rsid w:val="000963CD"/>
    <w:rsid w:val="000A2066"/>
    <w:rsid w:val="000B313A"/>
    <w:rsid w:val="000B4F9E"/>
    <w:rsid w:val="000C6AF7"/>
    <w:rsid w:val="000E1BC2"/>
    <w:rsid w:val="000E6313"/>
    <w:rsid w:val="000F227D"/>
    <w:rsid w:val="000F2E5F"/>
    <w:rsid w:val="00104F58"/>
    <w:rsid w:val="00117D8C"/>
    <w:rsid w:val="00131F78"/>
    <w:rsid w:val="001823EA"/>
    <w:rsid w:val="00186709"/>
    <w:rsid w:val="00192620"/>
    <w:rsid w:val="00193C37"/>
    <w:rsid w:val="001C4ED5"/>
    <w:rsid w:val="001C6F31"/>
    <w:rsid w:val="001D2644"/>
    <w:rsid w:val="001E0EE7"/>
    <w:rsid w:val="001E6FA2"/>
    <w:rsid w:val="001F1DED"/>
    <w:rsid w:val="0021331D"/>
    <w:rsid w:val="00213D4E"/>
    <w:rsid w:val="0022612A"/>
    <w:rsid w:val="00232A32"/>
    <w:rsid w:val="002436CD"/>
    <w:rsid w:val="00251AD0"/>
    <w:rsid w:val="00281E28"/>
    <w:rsid w:val="00283C63"/>
    <w:rsid w:val="00284437"/>
    <w:rsid w:val="002A02B4"/>
    <w:rsid w:val="002A1ED6"/>
    <w:rsid w:val="002A45BD"/>
    <w:rsid w:val="002B0263"/>
    <w:rsid w:val="002B128B"/>
    <w:rsid w:val="002B2D42"/>
    <w:rsid w:val="002C2478"/>
    <w:rsid w:val="002D2681"/>
    <w:rsid w:val="002D418E"/>
    <w:rsid w:val="002D497C"/>
    <w:rsid w:val="002D7200"/>
    <w:rsid w:val="0030186C"/>
    <w:rsid w:val="003057A1"/>
    <w:rsid w:val="00316059"/>
    <w:rsid w:val="00316B29"/>
    <w:rsid w:val="0032092A"/>
    <w:rsid w:val="00323750"/>
    <w:rsid w:val="00334A98"/>
    <w:rsid w:val="00344E49"/>
    <w:rsid w:val="00380DD1"/>
    <w:rsid w:val="00394DC6"/>
    <w:rsid w:val="003959F5"/>
    <w:rsid w:val="003A2923"/>
    <w:rsid w:val="003B68F4"/>
    <w:rsid w:val="003B76FD"/>
    <w:rsid w:val="003C0BFF"/>
    <w:rsid w:val="003C0D66"/>
    <w:rsid w:val="003C19AF"/>
    <w:rsid w:val="003C7840"/>
    <w:rsid w:val="003D0809"/>
    <w:rsid w:val="00406851"/>
    <w:rsid w:val="004345D9"/>
    <w:rsid w:val="00436836"/>
    <w:rsid w:val="0044016E"/>
    <w:rsid w:val="00446148"/>
    <w:rsid w:val="004535A0"/>
    <w:rsid w:val="00456869"/>
    <w:rsid w:val="004664AF"/>
    <w:rsid w:val="00472987"/>
    <w:rsid w:val="00480768"/>
    <w:rsid w:val="00495985"/>
    <w:rsid w:val="00496629"/>
    <w:rsid w:val="004A0058"/>
    <w:rsid w:val="004B06B4"/>
    <w:rsid w:val="004D6A23"/>
    <w:rsid w:val="004E0577"/>
    <w:rsid w:val="004E5555"/>
    <w:rsid w:val="004F5378"/>
    <w:rsid w:val="004F7260"/>
    <w:rsid w:val="005006DE"/>
    <w:rsid w:val="00502AB1"/>
    <w:rsid w:val="00516279"/>
    <w:rsid w:val="0052565B"/>
    <w:rsid w:val="00526265"/>
    <w:rsid w:val="00526CE0"/>
    <w:rsid w:val="00532264"/>
    <w:rsid w:val="00544895"/>
    <w:rsid w:val="00553AA6"/>
    <w:rsid w:val="00555080"/>
    <w:rsid w:val="0055670D"/>
    <w:rsid w:val="00571A5D"/>
    <w:rsid w:val="00580BF8"/>
    <w:rsid w:val="005828C8"/>
    <w:rsid w:val="005902D1"/>
    <w:rsid w:val="0059038A"/>
    <w:rsid w:val="0059672A"/>
    <w:rsid w:val="00596957"/>
    <w:rsid w:val="005A3FD6"/>
    <w:rsid w:val="005A65E4"/>
    <w:rsid w:val="005C3676"/>
    <w:rsid w:val="005C3DDD"/>
    <w:rsid w:val="005D7ACB"/>
    <w:rsid w:val="005F090C"/>
    <w:rsid w:val="005F35BD"/>
    <w:rsid w:val="005F69D4"/>
    <w:rsid w:val="00611FE7"/>
    <w:rsid w:val="00623A52"/>
    <w:rsid w:val="006247CA"/>
    <w:rsid w:val="00631E83"/>
    <w:rsid w:val="00631FA4"/>
    <w:rsid w:val="00650900"/>
    <w:rsid w:val="00655E8B"/>
    <w:rsid w:val="00660CC3"/>
    <w:rsid w:val="006740FD"/>
    <w:rsid w:val="006833F4"/>
    <w:rsid w:val="00687B67"/>
    <w:rsid w:val="006918B8"/>
    <w:rsid w:val="006924DA"/>
    <w:rsid w:val="00696646"/>
    <w:rsid w:val="006A1709"/>
    <w:rsid w:val="006C08EA"/>
    <w:rsid w:val="006C185B"/>
    <w:rsid w:val="006C3868"/>
    <w:rsid w:val="006F20BD"/>
    <w:rsid w:val="00704CAB"/>
    <w:rsid w:val="0075709B"/>
    <w:rsid w:val="007574FE"/>
    <w:rsid w:val="00777795"/>
    <w:rsid w:val="00777962"/>
    <w:rsid w:val="007913DC"/>
    <w:rsid w:val="00792A6C"/>
    <w:rsid w:val="0079393D"/>
    <w:rsid w:val="00796F4F"/>
    <w:rsid w:val="007A4D44"/>
    <w:rsid w:val="007B4314"/>
    <w:rsid w:val="007C27E0"/>
    <w:rsid w:val="007D4ACC"/>
    <w:rsid w:val="007F1616"/>
    <w:rsid w:val="007F4968"/>
    <w:rsid w:val="007F5C86"/>
    <w:rsid w:val="007F79A6"/>
    <w:rsid w:val="008032D2"/>
    <w:rsid w:val="00804C42"/>
    <w:rsid w:val="00823697"/>
    <w:rsid w:val="00846526"/>
    <w:rsid w:val="008506D9"/>
    <w:rsid w:val="00863898"/>
    <w:rsid w:val="00865CCE"/>
    <w:rsid w:val="00865FE3"/>
    <w:rsid w:val="00872CE4"/>
    <w:rsid w:val="00875B04"/>
    <w:rsid w:val="00876D17"/>
    <w:rsid w:val="008827CA"/>
    <w:rsid w:val="00882C91"/>
    <w:rsid w:val="00884FAE"/>
    <w:rsid w:val="008979F6"/>
    <w:rsid w:val="00897CAC"/>
    <w:rsid w:val="008A2491"/>
    <w:rsid w:val="008B52E8"/>
    <w:rsid w:val="008C011F"/>
    <w:rsid w:val="008C01B1"/>
    <w:rsid w:val="008C6EEE"/>
    <w:rsid w:val="008E1EFA"/>
    <w:rsid w:val="00902917"/>
    <w:rsid w:val="009160F0"/>
    <w:rsid w:val="0091783F"/>
    <w:rsid w:val="0094115F"/>
    <w:rsid w:val="009421D2"/>
    <w:rsid w:val="0094514C"/>
    <w:rsid w:val="00946A59"/>
    <w:rsid w:val="009471C3"/>
    <w:rsid w:val="0095097A"/>
    <w:rsid w:val="009527A7"/>
    <w:rsid w:val="009557AC"/>
    <w:rsid w:val="00956999"/>
    <w:rsid w:val="009619B4"/>
    <w:rsid w:val="00964DCD"/>
    <w:rsid w:val="00973905"/>
    <w:rsid w:val="0097415C"/>
    <w:rsid w:val="00984ACE"/>
    <w:rsid w:val="009A4624"/>
    <w:rsid w:val="009A7AB9"/>
    <w:rsid w:val="009B2C7D"/>
    <w:rsid w:val="009B4813"/>
    <w:rsid w:val="009C2EBF"/>
    <w:rsid w:val="009C3827"/>
    <w:rsid w:val="009D3197"/>
    <w:rsid w:val="009E1C45"/>
    <w:rsid w:val="009E1F3F"/>
    <w:rsid w:val="009F72E5"/>
    <w:rsid w:val="00A0455D"/>
    <w:rsid w:val="00A10F16"/>
    <w:rsid w:val="00A2168A"/>
    <w:rsid w:val="00A345A4"/>
    <w:rsid w:val="00A54282"/>
    <w:rsid w:val="00A55773"/>
    <w:rsid w:val="00A60B4D"/>
    <w:rsid w:val="00A81BA2"/>
    <w:rsid w:val="00AA62DE"/>
    <w:rsid w:val="00AB656D"/>
    <w:rsid w:val="00AB7307"/>
    <w:rsid w:val="00AC370A"/>
    <w:rsid w:val="00AF095D"/>
    <w:rsid w:val="00AF57C9"/>
    <w:rsid w:val="00AF62CD"/>
    <w:rsid w:val="00B0337F"/>
    <w:rsid w:val="00B128C8"/>
    <w:rsid w:val="00B169A7"/>
    <w:rsid w:val="00B348A8"/>
    <w:rsid w:val="00B619F8"/>
    <w:rsid w:val="00B6242B"/>
    <w:rsid w:val="00B71EBE"/>
    <w:rsid w:val="00B82840"/>
    <w:rsid w:val="00B96CEB"/>
    <w:rsid w:val="00BA572C"/>
    <w:rsid w:val="00BF0316"/>
    <w:rsid w:val="00C03AFB"/>
    <w:rsid w:val="00C35830"/>
    <w:rsid w:val="00C4059E"/>
    <w:rsid w:val="00C474E4"/>
    <w:rsid w:val="00C61B8F"/>
    <w:rsid w:val="00C644A7"/>
    <w:rsid w:val="00C771B3"/>
    <w:rsid w:val="00C803DA"/>
    <w:rsid w:val="00C82CA3"/>
    <w:rsid w:val="00CB10B2"/>
    <w:rsid w:val="00CB3DBA"/>
    <w:rsid w:val="00CC4504"/>
    <w:rsid w:val="00CC4FF5"/>
    <w:rsid w:val="00CC517F"/>
    <w:rsid w:val="00CD0083"/>
    <w:rsid w:val="00CE1A2B"/>
    <w:rsid w:val="00CE6F1B"/>
    <w:rsid w:val="00CE7185"/>
    <w:rsid w:val="00CF0A52"/>
    <w:rsid w:val="00D00272"/>
    <w:rsid w:val="00D01624"/>
    <w:rsid w:val="00D11449"/>
    <w:rsid w:val="00D14B5F"/>
    <w:rsid w:val="00D17D0A"/>
    <w:rsid w:val="00D20C6C"/>
    <w:rsid w:val="00D23489"/>
    <w:rsid w:val="00D3381E"/>
    <w:rsid w:val="00D36173"/>
    <w:rsid w:val="00D41219"/>
    <w:rsid w:val="00D524EE"/>
    <w:rsid w:val="00D666BC"/>
    <w:rsid w:val="00D678E3"/>
    <w:rsid w:val="00D826D7"/>
    <w:rsid w:val="00D86F52"/>
    <w:rsid w:val="00DB0580"/>
    <w:rsid w:val="00DD15FE"/>
    <w:rsid w:val="00DE2065"/>
    <w:rsid w:val="00DE20E0"/>
    <w:rsid w:val="00DE5904"/>
    <w:rsid w:val="00DE6773"/>
    <w:rsid w:val="00DF2E83"/>
    <w:rsid w:val="00DF43D8"/>
    <w:rsid w:val="00E04E74"/>
    <w:rsid w:val="00E11187"/>
    <w:rsid w:val="00E17B11"/>
    <w:rsid w:val="00E34083"/>
    <w:rsid w:val="00E365F2"/>
    <w:rsid w:val="00E503CC"/>
    <w:rsid w:val="00E5794A"/>
    <w:rsid w:val="00E60E90"/>
    <w:rsid w:val="00E83029"/>
    <w:rsid w:val="00E9293D"/>
    <w:rsid w:val="00E92A8B"/>
    <w:rsid w:val="00E97D8C"/>
    <w:rsid w:val="00EA3654"/>
    <w:rsid w:val="00EA36FC"/>
    <w:rsid w:val="00EB5768"/>
    <w:rsid w:val="00EB656D"/>
    <w:rsid w:val="00EB6777"/>
    <w:rsid w:val="00EC3DDF"/>
    <w:rsid w:val="00ED0D2B"/>
    <w:rsid w:val="00EE5DE1"/>
    <w:rsid w:val="00EE6568"/>
    <w:rsid w:val="00F01B58"/>
    <w:rsid w:val="00F11FE4"/>
    <w:rsid w:val="00F132AE"/>
    <w:rsid w:val="00F2583E"/>
    <w:rsid w:val="00F32E83"/>
    <w:rsid w:val="00F823EA"/>
    <w:rsid w:val="00F95E5A"/>
    <w:rsid w:val="00F975EB"/>
    <w:rsid w:val="00FA278B"/>
    <w:rsid w:val="00FA354D"/>
    <w:rsid w:val="00FA3B89"/>
    <w:rsid w:val="00FD29E0"/>
    <w:rsid w:val="00FE0E90"/>
    <w:rsid w:val="00FE32CC"/>
    <w:rsid w:val="00FE7CCF"/>
    <w:rsid w:val="00FF60EC"/>
    <w:rsid w:val="00FF6368"/>
    <w:rsid w:val="06483D8D"/>
    <w:rsid w:val="067A6028"/>
    <w:rsid w:val="09B428D7"/>
    <w:rsid w:val="0C1F3CD8"/>
    <w:rsid w:val="0C97247A"/>
    <w:rsid w:val="0DB3098E"/>
    <w:rsid w:val="0F8E55BD"/>
    <w:rsid w:val="0FB76324"/>
    <w:rsid w:val="1C09434C"/>
    <w:rsid w:val="1D3B2063"/>
    <w:rsid w:val="206D0602"/>
    <w:rsid w:val="22430342"/>
    <w:rsid w:val="22837C9C"/>
    <w:rsid w:val="25344AC2"/>
    <w:rsid w:val="25B931E9"/>
    <w:rsid w:val="2828673B"/>
    <w:rsid w:val="2C3F62CD"/>
    <w:rsid w:val="2C57797E"/>
    <w:rsid w:val="31482580"/>
    <w:rsid w:val="3328400E"/>
    <w:rsid w:val="38E61A2B"/>
    <w:rsid w:val="3A841EE9"/>
    <w:rsid w:val="3A9F1A72"/>
    <w:rsid w:val="3B7D1841"/>
    <w:rsid w:val="3F383632"/>
    <w:rsid w:val="4052753A"/>
    <w:rsid w:val="4A901356"/>
    <w:rsid w:val="53516268"/>
    <w:rsid w:val="562E4844"/>
    <w:rsid w:val="56C47F55"/>
    <w:rsid w:val="5CF87539"/>
    <w:rsid w:val="5EFC6787"/>
    <w:rsid w:val="621A6646"/>
    <w:rsid w:val="63E33020"/>
    <w:rsid w:val="6BE248E5"/>
    <w:rsid w:val="6EDB6140"/>
    <w:rsid w:val="6FB901C7"/>
    <w:rsid w:val="71001F2A"/>
    <w:rsid w:val="73A85115"/>
    <w:rsid w:val="7FB747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jc w:val="left"/>
    </w:pPr>
    <w:rPr>
      <w:rFonts w:ascii="宋体" w:hAnsi="宋体" w:cs="宋体"/>
      <w:kern w:val="0"/>
      <w:sz w:val="24"/>
      <w:szCs w:val="24"/>
    </w:rPr>
  </w:style>
  <w:style w:type="character" w:styleId="7">
    <w:name w:val="Hyperlink"/>
    <w:basedOn w:val="6"/>
    <w:qFormat/>
    <w:uiPriority w:val="0"/>
    <w:rPr>
      <w:color w:val="0000FF"/>
      <w:u w:val="single"/>
    </w:r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 w:type="character" w:customStyle="1" w:styleId="10">
    <w:name w:val="row_tree_level_3"/>
    <w:basedOn w:val="6"/>
    <w:qFormat/>
    <w:uiPriority w:val="0"/>
  </w:style>
  <w:style w:type="character" w:customStyle="1" w:styleId="11">
    <w:name w:val="row_tree_level_4"/>
    <w:basedOn w:val="6"/>
    <w:qFormat/>
    <w:uiPriority w:val="0"/>
  </w:style>
  <w:style w:type="paragraph" w:customStyle="1" w:styleId="12">
    <w:name w:val="p0"/>
    <w:basedOn w:val="1"/>
    <w:qFormat/>
    <w:uiPriority w:val="0"/>
    <w:pPr>
      <w:widowControl/>
    </w:pPr>
    <w:rPr>
      <w:rFonts w:ascii="Times New Roman" w:hAnsi="Times New Roman" w:eastAsia="宋体" w:cs="Times New Roman"/>
      <w:kern w:val="0"/>
      <w:szCs w:val="21"/>
    </w:rPr>
  </w:style>
  <w:style w:type="character" w:customStyle="1" w:styleId="13">
    <w:name w:val="15"/>
    <w:basedOn w:val="6"/>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3931</Words>
  <Characters>4264</Characters>
  <Lines>51</Lines>
  <Paragraphs>14</Paragraphs>
  <TotalTime>0</TotalTime>
  <ScaleCrop>false</ScaleCrop>
  <LinksUpToDate>false</LinksUpToDate>
  <CharactersWithSpaces>4293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2015-04-23T05:26:00Z</dcterms:created>
  <dc:creator>NTKO</dc:creator>
  <cp:lastModifiedBy>程昌</cp:lastModifiedBy>
  <cp:lastPrinted>2024-02-05T02:35:00Z</cp:lastPrinted>
  <dcterms:modified xsi:type="dcterms:W3CDTF">2026-09-08T07:56:35Z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26856AD12D2B426282A6CAC3B8845BFD_12</vt:lpwstr>
  </property>
  <property fmtid="{D5CDD505-2E9C-101B-9397-08002B2CF9AE}" pid="4" name="KSOTemplateDocerSaveRecord">
    <vt:lpwstr>eyJoZGlkIjoiNjA5YjE2ZDc4ODJjNTJiNTA4NWFlMjY4Yzc3ZjRkNzIiLCJ1c2VySWQiOiIxNTU4NTI2MDA0In0=</vt:lpwstr>
  </property>
</Properties>
</file>